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25" w:afterAutospacing="0"/>
        <w:ind w:left="0" w:right="0" w:firstLine="420"/>
        <w:jc w:val="left"/>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招聘岗位及要求</w:t>
      </w:r>
    </w:p>
    <w:tbl>
      <w:tblPr>
        <w:tblW w:w="8177" w:type="dxa"/>
        <w:tblInd w:w="0" w:type="dxa"/>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60"/>
        <w:gridCol w:w="1371"/>
        <w:gridCol w:w="1153"/>
        <w:gridCol w:w="748"/>
        <w:gridCol w:w="1786"/>
        <w:gridCol w:w="924"/>
        <w:gridCol w:w="1235"/>
      </w:tblGrid>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9" w:hRule="atLeast"/>
        </w:trPr>
        <w:tc>
          <w:tcPr>
            <w:tcW w:w="960"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ascii="方正黑体_GBK" w:hAnsi="方正黑体_GBK" w:eastAsia="方正黑体_GBK" w:cs="方正黑体_GBK"/>
                <w:i w:val="0"/>
                <w:caps w:val="0"/>
                <w:color w:val="333333"/>
                <w:spacing w:val="0"/>
                <w:sz w:val="15"/>
                <w:szCs w:val="15"/>
                <w:vertAlign w:val="baseline"/>
              </w:rPr>
              <w:t>单位名称</w:t>
            </w:r>
          </w:p>
        </w:tc>
        <w:tc>
          <w:tcPr>
            <w:tcW w:w="1371"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黑体_GBK" w:hAnsi="方正黑体_GBK" w:eastAsia="方正黑体_GBK" w:cs="方正黑体_GBK"/>
                <w:i w:val="0"/>
                <w:caps w:val="0"/>
                <w:color w:val="333333"/>
                <w:spacing w:val="0"/>
                <w:sz w:val="15"/>
                <w:szCs w:val="15"/>
                <w:vertAlign w:val="baseline"/>
              </w:rPr>
              <w:t>岗位类别</w:t>
            </w:r>
          </w:p>
        </w:tc>
        <w:tc>
          <w:tcPr>
            <w:tcW w:w="115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黑体_GBK" w:hAnsi="方正黑体_GBK" w:eastAsia="方正黑体_GBK" w:cs="方正黑体_GBK"/>
                <w:i w:val="0"/>
                <w:caps w:val="0"/>
                <w:color w:val="333333"/>
                <w:spacing w:val="0"/>
                <w:sz w:val="15"/>
                <w:szCs w:val="15"/>
                <w:vertAlign w:val="baseline"/>
              </w:rPr>
              <w:t>专业</w:t>
            </w:r>
          </w:p>
        </w:tc>
        <w:tc>
          <w:tcPr>
            <w:tcW w:w="748"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黑体_GBK" w:hAnsi="方正黑体_GBK" w:eastAsia="方正黑体_GBK" w:cs="方正黑体_GBK"/>
                <w:i w:val="0"/>
                <w:caps w:val="0"/>
                <w:color w:val="333333"/>
                <w:spacing w:val="0"/>
                <w:sz w:val="15"/>
                <w:szCs w:val="15"/>
                <w:vertAlign w:val="baseline"/>
              </w:rPr>
              <w:t>数量</w:t>
            </w:r>
          </w:p>
        </w:tc>
        <w:tc>
          <w:tcPr>
            <w:tcW w:w="1786"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黑体_GBK" w:hAnsi="方正黑体_GBK" w:eastAsia="方正黑体_GBK" w:cs="方正黑体_GBK"/>
                <w:i w:val="0"/>
                <w:caps w:val="0"/>
                <w:color w:val="333333"/>
                <w:spacing w:val="0"/>
                <w:sz w:val="15"/>
                <w:szCs w:val="15"/>
                <w:vertAlign w:val="baseline"/>
              </w:rPr>
              <w:t>学历学位</w:t>
            </w:r>
          </w:p>
        </w:tc>
        <w:tc>
          <w:tcPr>
            <w:tcW w:w="92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黑体_GBK" w:hAnsi="方正黑体_GBK" w:eastAsia="方正黑体_GBK" w:cs="方正黑体_GBK"/>
                <w:i w:val="0"/>
                <w:caps w:val="0"/>
                <w:color w:val="333333"/>
                <w:spacing w:val="0"/>
                <w:sz w:val="15"/>
                <w:szCs w:val="15"/>
                <w:vertAlign w:val="baseline"/>
              </w:rPr>
              <w:t>年龄</w:t>
            </w:r>
          </w:p>
        </w:tc>
        <w:tc>
          <w:tcPr>
            <w:tcW w:w="1235"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黑体_GBK" w:hAnsi="方正黑体_GBK" w:eastAsia="方正黑体_GBK" w:cs="方正黑体_GBK"/>
                <w:i w:val="0"/>
                <w:caps w:val="0"/>
                <w:color w:val="333333"/>
                <w:spacing w:val="0"/>
                <w:sz w:val="15"/>
                <w:szCs w:val="15"/>
                <w:vertAlign w:val="baseline"/>
              </w:rPr>
              <w:t>备注</w:t>
            </w: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4" w:hRule="atLeast"/>
        </w:trPr>
        <w:tc>
          <w:tcPr>
            <w:tcW w:w="960"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ascii="方正仿宋_GBK" w:hAnsi="方正仿宋_GBK" w:eastAsia="方正仿宋_GBK" w:cs="方正仿宋_GBK"/>
                <w:i w:val="0"/>
                <w:caps w:val="0"/>
                <w:color w:val="333333"/>
                <w:spacing w:val="0"/>
                <w:sz w:val="15"/>
                <w:szCs w:val="15"/>
                <w:vertAlign w:val="baseline"/>
              </w:rPr>
              <w:t>中牟县</w:t>
            </w:r>
          </w:p>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仿宋_GBK" w:hAnsi="方正仿宋_GBK" w:eastAsia="方正仿宋_GBK" w:cs="方正仿宋_GBK"/>
                <w:i w:val="0"/>
                <w:caps w:val="0"/>
                <w:color w:val="333333"/>
                <w:spacing w:val="0"/>
                <w:sz w:val="15"/>
                <w:szCs w:val="15"/>
                <w:vertAlign w:val="baseline"/>
              </w:rPr>
              <w:t>人民政府</w:t>
            </w:r>
          </w:p>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仿宋_GBK" w:hAnsi="方正仿宋_GBK" w:eastAsia="方正仿宋_GBK" w:cs="方正仿宋_GBK"/>
                <w:i w:val="0"/>
                <w:caps w:val="0"/>
                <w:color w:val="333333"/>
                <w:spacing w:val="0"/>
                <w:sz w:val="15"/>
                <w:szCs w:val="15"/>
                <w:vertAlign w:val="baseline"/>
              </w:rPr>
              <w:t>办公室</w:t>
            </w:r>
          </w:p>
        </w:tc>
        <w:tc>
          <w:tcPr>
            <w:tcW w:w="1371"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公文写作岗位</w:t>
            </w:r>
          </w:p>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政策研究岗位</w:t>
            </w:r>
          </w:p>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党务管理岗位</w:t>
            </w:r>
          </w:p>
        </w:tc>
        <w:tc>
          <w:tcPr>
            <w:tcW w:w="11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文史类</w:t>
            </w:r>
          </w:p>
        </w:tc>
        <w:tc>
          <w:tcPr>
            <w:tcW w:w="74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Times New Roman" w:hAnsi="Times New Roman" w:eastAsia="微软雅黑" w:cs="Times New Roman"/>
                <w:i w:val="0"/>
                <w:caps w:val="0"/>
                <w:color w:val="333333"/>
                <w:spacing w:val="0"/>
                <w:sz w:val="15"/>
                <w:szCs w:val="15"/>
                <w:vertAlign w:val="baseline"/>
              </w:rPr>
              <w:t>2</w:t>
            </w:r>
          </w:p>
        </w:tc>
        <w:tc>
          <w:tcPr>
            <w:tcW w:w="1786"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Times New Roman" w:hAnsi="Times New Roman" w:eastAsia="微软雅黑" w:cs="Times New Roman"/>
                <w:i w:val="0"/>
                <w:caps w:val="0"/>
                <w:color w:val="333333"/>
                <w:spacing w:val="0"/>
                <w:sz w:val="15"/>
                <w:szCs w:val="15"/>
                <w:vertAlign w:val="baseline"/>
              </w:rPr>
              <w:t>“</w:t>
            </w:r>
            <w:r>
              <w:rPr>
                <w:rFonts w:hint="default" w:ascii="方正仿宋_GBK" w:hAnsi="方正仿宋_GBK" w:eastAsia="方正仿宋_GBK" w:cs="方正仿宋_GBK"/>
                <w:i w:val="0"/>
                <w:caps w:val="0"/>
                <w:color w:val="333333"/>
                <w:spacing w:val="0"/>
                <w:sz w:val="15"/>
                <w:szCs w:val="15"/>
                <w:vertAlign w:val="baseline"/>
              </w:rPr>
              <w:t>一流大学和一流学科建设</w:t>
            </w:r>
            <w:r>
              <w:rPr>
                <w:rFonts w:hint="default" w:ascii="Times New Roman" w:hAnsi="Times New Roman" w:eastAsia="微软雅黑" w:cs="Times New Roman"/>
                <w:i w:val="0"/>
                <w:caps w:val="0"/>
                <w:color w:val="333333"/>
                <w:spacing w:val="0"/>
                <w:sz w:val="15"/>
                <w:szCs w:val="15"/>
                <w:vertAlign w:val="baseline"/>
              </w:rPr>
              <w:t>”</w:t>
            </w:r>
            <w:r>
              <w:rPr>
                <w:rFonts w:hint="default" w:ascii="方正仿宋_GBK" w:hAnsi="方正仿宋_GBK" w:eastAsia="方正仿宋_GBK" w:cs="方正仿宋_GBK"/>
                <w:i w:val="0"/>
                <w:caps w:val="0"/>
                <w:color w:val="333333"/>
                <w:spacing w:val="0"/>
                <w:sz w:val="15"/>
                <w:szCs w:val="15"/>
                <w:vertAlign w:val="baseline"/>
              </w:rPr>
              <w:t>高校全日制研究生及以上学历，硕士及以上学位。</w:t>
            </w:r>
          </w:p>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仿宋_GBK" w:hAnsi="方正仿宋_GBK" w:eastAsia="方正仿宋_GBK" w:cs="方正仿宋_GBK"/>
                <w:i w:val="0"/>
                <w:caps w:val="0"/>
                <w:color w:val="333333"/>
                <w:spacing w:val="0"/>
                <w:sz w:val="15"/>
                <w:szCs w:val="15"/>
                <w:vertAlign w:val="baseline"/>
              </w:rPr>
              <w:t>高校名单以《教育部</w:t>
            </w:r>
            <w:r>
              <w:rPr>
                <w:rFonts w:hint="eastAsia" w:ascii="微软雅黑" w:hAnsi="微软雅黑" w:eastAsia="微软雅黑" w:cs="微软雅黑"/>
                <w:i w:val="0"/>
                <w:caps w:val="0"/>
                <w:color w:val="333333"/>
                <w:spacing w:val="0"/>
                <w:sz w:val="15"/>
                <w:szCs w:val="15"/>
                <w:vertAlign w:val="baseline"/>
              </w:rPr>
              <w:t> </w:t>
            </w:r>
            <w:r>
              <w:rPr>
                <w:rFonts w:hint="default" w:ascii="方正仿宋_GBK" w:hAnsi="方正仿宋_GBK" w:eastAsia="方正仿宋_GBK" w:cs="方正仿宋_GBK"/>
                <w:i w:val="0"/>
                <w:caps w:val="0"/>
                <w:color w:val="333333"/>
                <w:spacing w:val="0"/>
                <w:sz w:val="15"/>
                <w:szCs w:val="15"/>
                <w:vertAlign w:val="baseline"/>
              </w:rPr>
              <w:t>财政部</w:t>
            </w:r>
            <w:r>
              <w:rPr>
                <w:rFonts w:hint="eastAsia" w:ascii="微软雅黑" w:hAnsi="微软雅黑" w:eastAsia="微软雅黑" w:cs="微软雅黑"/>
                <w:i w:val="0"/>
                <w:caps w:val="0"/>
                <w:color w:val="333333"/>
                <w:spacing w:val="0"/>
                <w:sz w:val="15"/>
                <w:szCs w:val="15"/>
                <w:vertAlign w:val="baseline"/>
              </w:rPr>
              <w:t> </w:t>
            </w:r>
            <w:r>
              <w:rPr>
                <w:rFonts w:hint="default" w:ascii="方正仿宋_GBK" w:hAnsi="方正仿宋_GBK" w:eastAsia="方正仿宋_GBK" w:cs="方正仿宋_GBK"/>
                <w:i w:val="0"/>
                <w:caps w:val="0"/>
                <w:color w:val="333333"/>
                <w:spacing w:val="0"/>
                <w:sz w:val="15"/>
                <w:szCs w:val="15"/>
                <w:vertAlign w:val="baseline"/>
              </w:rPr>
              <w:t>国家发展改革委关于公布世界一流大学和一流学科建设高校及建设学科名单的通知》（教研函〔</w:t>
            </w:r>
            <w:r>
              <w:rPr>
                <w:rFonts w:hint="default" w:ascii="Times New Roman" w:hAnsi="Times New Roman" w:eastAsia="微软雅黑" w:cs="Times New Roman"/>
                <w:i w:val="0"/>
                <w:caps w:val="0"/>
                <w:color w:val="333333"/>
                <w:spacing w:val="0"/>
                <w:sz w:val="15"/>
                <w:szCs w:val="15"/>
                <w:vertAlign w:val="baseline"/>
              </w:rPr>
              <w:t>2017</w:t>
            </w:r>
            <w:r>
              <w:rPr>
                <w:rFonts w:hint="default" w:ascii="方正仿宋_GBK" w:hAnsi="方正仿宋_GBK" w:eastAsia="方正仿宋_GBK" w:cs="方正仿宋_GBK"/>
                <w:i w:val="0"/>
                <w:caps w:val="0"/>
                <w:color w:val="333333"/>
                <w:spacing w:val="0"/>
                <w:sz w:val="15"/>
                <w:szCs w:val="15"/>
                <w:vertAlign w:val="baseline"/>
              </w:rPr>
              <w:t>〕</w:t>
            </w:r>
            <w:r>
              <w:rPr>
                <w:rFonts w:hint="default" w:ascii="Times New Roman" w:hAnsi="Times New Roman" w:eastAsia="微软雅黑" w:cs="Times New Roman"/>
                <w:i w:val="0"/>
                <w:caps w:val="0"/>
                <w:color w:val="333333"/>
                <w:spacing w:val="0"/>
                <w:sz w:val="15"/>
                <w:szCs w:val="15"/>
                <w:vertAlign w:val="baseline"/>
              </w:rPr>
              <w:t>2</w:t>
            </w:r>
            <w:r>
              <w:rPr>
                <w:rFonts w:hint="default" w:ascii="方正仿宋_GBK" w:hAnsi="方正仿宋_GBK" w:eastAsia="方正仿宋_GBK" w:cs="方正仿宋_GBK"/>
                <w:i w:val="0"/>
                <w:caps w:val="0"/>
                <w:color w:val="333333"/>
                <w:spacing w:val="0"/>
                <w:sz w:val="15"/>
                <w:szCs w:val="15"/>
                <w:vertAlign w:val="baseline"/>
              </w:rPr>
              <w:t>号）为准</w:t>
            </w:r>
          </w:p>
        </w:tc>
        <w:tc>
          <w:tcPr>
            <w:tcW w:w="924"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Times New Roman" w:hAnsi="Times New Roman" w:eastAsia="微软雅黑" w:cs="Times New Roman"/>
                <w:i w:val="0"/>
                <w:caps w:val="0"/>
                <w:color w:val="333333"/>
                <w:spacing w:val="0"/>
                <w:sz w:val="15"/>
                <w:szCs w:val="15"/>
                <w:vertAlign w:val="baseline"/>
              </w:rPr>
              <w:t>30</w:t>
            </w:r>
            <w:r>
              <w:rPr>
                <w:rFonts w:hint="default" w:ascii="方正仿宋_GBK" w:hAnsi="方正仿宋_GBK" w:eastAsia="方正仿宋_GBK" w:cs="方正仿宋_GBK"/>
                <w:i w:val="0"/>
                <w:caps w:val="0"/>
                <w:color w:val="333333"/>
                <w:spacing w:val="0"/>
                <w:sz w:val="15"/>
                <w:szCs w:val="15"/>
                <w:vertAlign w:val="baseline"/>
              </w:rPr>
              <w:t>岁及以下（</w:t>
            </w:r>
            <w:r>
              <w:rPr>
                <w:rFonts w:hint="default" w:ascii="Times New Roman" w:hAnsi="Times New Roman" w:eastAsia="微软雅黑" w:cs="Times New Roman"/>
                <w:i w:val="0"/>
                <w:caps w:val="0"/>
                <w:color w:val="333333"/>
                <w:spacing w:val="0"/>
                <w:sz w:val="15"/>
                <w:szCs w:val="15"/>
                <w:vertAlign w:val="baseline"/>
              </w:rPr>
              <w:t>1988</w:t>
            </w:r>
            <w:r>
              <w:rPr>
                <w:rFonts w:hint="default" w:ascii="方正仿宋_GBK" w:hAnsi="方正仿宋_GBK" w:eastAsia="方正仿宋_GBK" w:cs="方正仿宋_GBK"/>
                <w:i w:val="0"/>
                <w:caps w:val="0"/>
                <w:color w:val="333333"/>
                <w:spacing w:val="0"/>
                <w:sz w:val="15"/>
                <w:szCs w:val="15"/>
                <w:vertAlign w:val="baseline"/>
              </w:rPr>
              <w:t>年</w:t>
            </w:r>
            <w:r>
              <w:rPr>
                <w:rFonts w:hint="default" w:ascii="Times New Roman" w:hAnsi="Times New Roman" w:eastAsia="微软雅黑" w:cs="Times New Roman"/>
                <w:i w:val="0"/>
                <w:caps w:val="0"/>
                <w:color w:val="333333"/>
                <w:spacing w:val="0"/>
                <w:sz w:val="15"/>
                <w:szCs w:val="15"/>
                <w:vertAlign w:val="baseline"/>
              </w:rPr>
              <w:t>7</w:t>
            </w:r>
            <w:r>
              <w:rPr>
                <w:rFonts w:hint="default" w:ascii="方正仿宋_GBK" w:hAnsi="方正仿宋_GBK" w:eastAsia="方正仿宋_GBK" w:cs="方正仿宋_GBK"/>
                <w:i w:val="0"/>
                <w:caps w:val="0"/>
                <w:color w:val="333333"/>
                <w:spacing w:val="0"/>
                <w:sz w:val="15"/>
                <w:szCs w:val="15"/>
                <w:vertAlign w:val="baseline"/>
              </w:rPr>
              <w:t>月</w:t>
            </w:r>
            <w:r>
              <w:rPr>
                <w:rFonts w:hint="default" w:ascii="Times New Roman" w:hAnsi="Times New Roman" w:eastAsia="微软雅黑" w:cs="Times New Roman"/>
                <w:i w:val="0"/>
                <w:caps w:val="0"/>
                <w:color w:val="333333"/>
                <w:spacing w:val="0"/>
                <w:sz w:val="15"/>
                <w:szCs w:val="15"/>
                <w:vertAlign w:val="baseline"/>
              </w:rPr>
              <w:t>1</w:t>
            </w:r>
            <w:r>
              <w:rPr>
                <w:rFonts w:hint="default" w:ascii="方正仿宋_GBK" w:hAnsi="方正仿宋_GBK" w:eastAsia="方正仿宋_GBK" w:cs="方正仿宋_GBK"/>
                <w:i w:val="0"/>
                <w:caps w:val="0"/>
                <w:color w:val="333333"/>
                <w:spacing w:val="0"/>
                <w:sz w:val="15"/>
                <w:szCs w:val="15"/>
                <w:vertAlign w:val="baseline"/>
              </w:rPr>
              <w:t>日及以后出生）</w:t>
            </w:r>
          </w:p>
        </w:tc>
        <w:tc>
          <w:tcPr>
            <w:tcW w:w="1235" w:type="dxa"/>
            <w:vMerge w:val="restart"/>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方正仿宋_GBK" w:hAnsi="方正仿宋_GBK" w:eastAsia="方正仿宋_GBK" w:cs="方正仿宋_GBK"/>
                <w:i w:val="0"/>
                <w:caps w:val="0"/>
                <w:color w:val="333333"/>
                <w:spacing w:val="0"/>
                <w:sz w:val="15"/>
                <w:szCs w:val="15"/>
                <w:vertAlign w:val="baseline"/>
              </w:rPr>
              <w:t>应届毕业生须在</w:t>
            </w:r>
            <w:r>
              <w:rPr>
                <w:rFonts w:hint="default" w:ascii="Times New Roman" w:hAnsi="Times New Roman" w:eastAsia="微软雅黑" w:cs="Times New Roman"/>
                <w:i w:val="0"/>
                <w:caps w:val="0"/>
                <w:color w:val="333333"/>
                <w:spacing w:val="0"/>
                <w:sz w:val="15"/>
                <w:szCs w:val="15"/>
                <w:vertAlign w:val="baseline"/>
              </w:rPr>
              <w:t>2019</w:t>
            </w:r>
            <w:r>
              <w:rPr>
                <w:rFonts w:hint="default" w:ascii="方正仿宋_GBK" w:hAnsi="方正仿宋_GBK" w:eastAsia="方正仿宋_GBK" w:cs="方正仿宋_GBK"/>
                <w:i w:val="0"/>
                <w:caps w:val="0"/>
                <w:color w:val="333333"/>
                <w:spacing w:val="0"/>
                <w:sz w:val="15"/>
                <w:szCs w:val="15"/>
                <w:vertAlign w:val="baseline"/>
              </w:rPr>
              <w:t>年</w:t>
            </w:r>
            <w:r>
              <w:rPr>
                <w:rFonts w:hint="default" w:ascii="Times New Roman" w:hAnsi="Times New Roman" w:eastAsia="微软雅黑" w:cs="Times New Roman"/>
                <w:i w:val="0"/>
                <w:caps w:val="0"/>
                <w:color w:val="333333"/>
                <w:spacing w:val="0"/>
                <w:sz w:val="15"/>
                <w:szCs w:val="15"/>
                <w:vertAlign w:val="baseline"/>
              </w:rPr>
              <w:t>7</w:t>
            </w:r>
            <w:r>
              <w:rPr>
                <w:rFonts w:hint="default" w:ascii="方正仿宋_GBK" w:hAnsi="方正仿宋_GBK" w:eastAsia="方正仿宋_GBK" w:cs="方正仿宋_GBK"/>
                <w:i w:val="0"/>
                <w:caps w:val="0"/>
                <w:color w:val="333333"/>
                <w:spacing w:val="0"/>
                <w:sz w:val="15"/>
                <w:szCs w:val="15"/>
                <w:vertAlign w:val="baseline"/>
              </w:rPr>
              <w:t>月</w:t>
            </w:r>
            <w:r>
              <w:rPr>
                <w:rFonts w:hint="default" w:ascii="Times New Roman" w:hAnsi="Times New Roman" w:eastAsia="微软雅黑" w:cs="Times New Roman"/>
                <w:i w:val="0"/>
                <w:caps w:val="0"/>
                <w:color w:val="333333"/>
                <w:spacing w:val="0"/>
                <w:sz w:val="15"/>
                <w:szCs w:val="15"/>
                <w:vertAlign w:val="baseline"/>
              </w:rPr>
              <w:t>1</w:t>
            </w:r>
            <w:r>
              <w:rPr>
                <w:rFonts w:hint="default" w:ascii="方正仿宋_GBK" w:hAnsi="方正仿宋_GBK" w:eastAsia="方正仿宋_GBK" w:cs="方正仿宋_GBK"/>
                <w:i w:val="0"/>
                <w:caps w:val="0"/>
                <w:color w:val="333333"/>
                <w:spacing w:val="0"/>
                <w:sz w:val="15"/>
                <w:szCs w:val="15"/>
                <w:vertAlign w:val="baseline"/>
              </w:rPr>
              <w:t>日前取得相关学历学位证书，否则取消聘用资格。</w:t>
            </w: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64" w:hRule="atLeast"/>
        </w:trPr>
        <w:tc>
          <w:tcPr>
            <w:tcW w:w="960"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37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1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经济类</w:t>
            </w:r>
          </w:p>
        </w:tc>
        <w:tc>
          <w:tcPr>
            <w:tcW w:w="74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Times New Roman" w:hAnsi="Times New Roman" w:eastAsia="微软雅黑" w:cs="Times New Roman"/>
                <w:i w:val="0"/>
                <w:caps w:val="0"/>
                <w:color w:val="333333"/>
                <w:spacing w:val="0"/>
                <w:sz w:val="15"/>
                <w:szCs w:val="15"/>
                <w:vertAlign w:val="baseline"/>
              </w:rPr>
              <w:t>2</w:t>
            </w:r>
          </w:p>
        </w:tc>
        <w:tc>
          <w:tcPr>
            <w:tcW w:w="1786"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92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235"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89" w:hRule="atLeast"/>
        </w:trPr>
        <w:tc>
          <w:tcPr>
            <w:tcW w:w="960"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37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1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城乡规划类</w:t>
            </w:r>
          </w:p>
        </w:tc>
        <w:tc>
          <w:tcPr>
            <w:tcW w:w="74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Times New Roman" w:hAnsi="Times New Roman" w:eastAsia="微软雅黑" w:cs="Times New Roman"/>
                <w:i w:val="0"/>
                <w:caps w:val="0"/>
                <w:color w:val="333333"/>
                <w:spacing w:val="0"/>
                <w:sz w:val="15"/>
                <w:szCs w:val="15"/>
                <w:vertAlign w:val="baseline"/>
              </w:rPr>
              <w:t>1</w:t>
            </w:r>
          </w:p>
        </w:tc>
        <w:tc>
          <w:tcPr>
            <w:tcW w:w="1786"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92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235"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r>
      <w:tr>
        <w:tblPrEx>
          <w:tblBorders>
            <w:top w:val="single" w:color="DEDEDE" w:sz="4" w:space="0"/>
            <w:left w:val="single" w:color="DEDEDE" w:sz="4" w:space="0"/>
            <w:bottom w:val="single" w:color="DEDEDE" w:sz="4" w:space="0"/>
            <w:right w:val="single" w:color="DEDEDE"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1" w:hRule="atLeast"/>
        </w:trPr>
        <w:tc>
          <w:tcPr>
            <w:tcW w:w="960"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371"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1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50" w:lineRule="atLeast"/>
              <w:ind w:left="0" w:right="0" w:firstLine="420"/>
              <w:jc w:val="left"/>
              <w:textAlignment w:val="baseline"/>
            </w:pPr>
            <w:r>
              <w:rPr>
                <w:rFonts w:hint="default" w:ascii="方正仿宋_GBK" w:hAnsi="方正仿宋_GBK" w:eastAsia="方正仿宋_GBK" w:cs="方正仿宋_GBK"/>
                <w:i w:val="0"/>
                <w:caps w:val="0"/>
                <w:color w:val="000000"/>
                <w:spacing w:val="0"/>
                <w:sz w:val="15"/>
                <w:szCs w:val="15"/>
                <w:vertAlign w:val="baseline"/>
              </w:rPr>
              <w:t>社会管理类</w:t>
            </w:r>
          </w:p>
        </w:tc>
        <w:tc>
          <w:tcPr>
            <w:tcW w:w="748"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spacing w:before="0" w:beforeAutospacing="0" w:after="125" w:afterAutospacing="0" w:line="213" w:lineRule="atLeast"/>
              <w:ind w:left="0" w:right="0" w:firstLine="420"/>
              <w:jc w:val="left"/>
              <w:textAlignment w:val="baseline"/>
            </w:pPr>
            <w:r>
              <w:rPr>
                <w:rFonts w:hint="default" w:ascii="Times New Roman" w:hAnsi="Times New Roman" w:eastAsia="微软雅黑" w:cs="Times New Roman"/>
                <w:i w:val="0"/>
                <w:caps w:val="0"/>
                <w:color w:val="333333"/>
                <w:spacing w:val="0"/>
                <w:sz w:val="15"/>
                <w:szCs w:val="15"/>
                <w:vertAlign w:val="baseline"/>
              </w:rPr>
              <w:t>1</w:t>
            </w:r>
          </w:p>
        </w:tc>
        <w:tc>
          <w:tcPr>
            <w:tcW w:w="1786"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924"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c>
          <w:tcPr>
            <w:tcW w:w="1235" w:type="dxa"/>
            <w:vMerge w:val="continue"/>
            <w:tcBorders>
              <w:top w:val="nil"/>
              <w:left w:val="nil"/>
              <w:bottom w:val="single" w:color="auto" w:sz="4" w:space="0"/>
              <w:right w:val="single" w:color="auto" w:sz="4" w:space="0"/>
            </w:tcBorders>
            <w:shd w:val="clear" w:color="auto" w:fill="FFFFFF"/>
            <w:tcMar>
              <w:left w:w="88" w:type="dxa"/>
              <w:right w:w="88" w:type="dxa"/>
            </w:tcMar>
            <w:vAlign w:val="center"/>
          </w:tcPr>
          <w:p>
            <w:pPr>
              <w:jc w:val="left"/>
              <w:rPr>
                <w:rFonts w:hint="eastAsia" w:ascii="微软雅黑" w:hAnsi="微软雅黑" w:eastAsia="微软雅黑" w:cs="微软雅黑"/>
                <w:i w:val="0"/>
                <w:caps w:val="0"/>
                <w:color w:val="333333"/>
                <w:spacing w:val="0"/>
                <w:sz w:val="15"/>
                <w:szCs w:val="15"/>
              </w:rPr>
            </w:pPr>
          </w:p>
        </w:tc>
      </w:tr>
    </w:tbl>
    <w:p>
      <w:pPr>
        <w:pStyle w:val="2"/>
        <w:keepNext w:val="0"/>
        <w:keepLines w:val="0"/>
        <w:widowControl/>
        <w:suppressLineNumbers w:val="0"/>
        <w:shd w:val="clear" w:fill="FFFFFF"/>
        <w:spacing w:before="0" w:beforeAutospacing="0" w:after="125" w:afterAutospacing="0"/>
        <w:ind w:left="0" w:right="0" w:firstLine="42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本次计划招聘工作人员6名，根据中牟县人民政府办公室机构设置情况，结合聘用人员专业特长安排工作岗位。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8536A"/>
    <w:rsid w:val="05C85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2018-12-08T02:09:00Z</dcterms:created>
  <dc:creator>ASUS</dc:creator>
  <cp:lastModifiedBy>ASUS</cp:lastModifiedBy>
  <dcterms:modified xsi:type="dcterms:W3CDTF">2018-12-08T02:09:52Z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