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560"/>
        <w:jc w:val="both"/>
        <w:rPr>
          <w:rFonts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Calibri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长沙市工商行政管理局所属事业单位</w:t>
      </w:r>
      <w:r>
        <w:rPr>
          <w:rFonts w:hint="default" w:ascii="仿宋_GB2312" w:hAnsi="Calibri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2016年公开招聘工作人员，因法律岗位的考生自愿放弃，根据招聘简章的相关规定，按综合成绩排名从高到低递补1人。现公示如下，公示期为7个工作日。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286" w:beforeAutospacing="0" w:after="120" w:afterAutospacing="0" w:line="560" w:lineRule="atLeast"/>
        <w:ind w:left="0" w:right="0" w:firstLine="750"/>
        <w:jc w:val="center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instrText xml:space="preserve">INCLUDEPICTURE \d "https://www.csldbz.gov.cn/ggfw/rsrc/gkzk/sydwzk/ksgg/201703/W020170308608378916858.png"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295900" cy="13049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5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监督电话：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5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长沙市工商行政管理局纪检监察室：0731-89971708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5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长沙市工商行政管理局人事教育处：0731-89971618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5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长沙市人力资源和社会保障局事业单位人事管理处：0731-88666037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8D07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2017-03-08T14:28:53Z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