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酒泉支队公开招聘政府专职消防员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default"/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</w:t>
      </w: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0" w:type="auto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198"/>
        <w:gridCol w:w="794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5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38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405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45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38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4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54" w:right="126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74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55" w:right="12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2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1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</w:p>
          <w:p>
            <w:pPr>
              <w:pStyle w:val="17"/>
              <w:spacing w:line="458" w:lineRule="auto"/>
              <w:ind w:left="114" w:right="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17"/>
              <w:spacing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7"/>
              <w:spacing w:line="278" w:lineRule="auto"/>
              <w:ind w:right="201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7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61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2" w:after="0" w:line="240" w:lineRule="auto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spacing w:before="3"/>
              <w:rPr>
                <w:rFonts w:ascii="黑体"/>
                <w:sz w:val="28"/>
              </w:rPr>
            </w:pPr>
          </w:p>
          <w:p>
            <w:pPr>
              <w:pStyle w:val="17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17"/>
              <w:spacing w:before="5"/>
              <w:ind w:left="120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51" w:leftChars="0" w:right="124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3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6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18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9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80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78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0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202" w:leftChars="0" w:right="15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17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13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17"/>
              <w:spacing w:before="3"/>
              <w:ind w:left="115" w:leftChars="0" w:right="0" w:rightChars="0"/>
              <w:rPr>
                <w:sz w:val="21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3"/>
              </w:rPr>
            </w:pPr>
          </w:p>
          <w:p>
            <w:pPr>
              <w:pStyle w:val="17"/>
              <w:spacing w:before="2"/>
              <w:ind w:left="225" w:leftChars="0" w:right="0" w:rightChars="0"/>
              <w:rPr>
                <w:rFonts w:hint="eastAsia" w:ascii="黑体" w:eastAsia="黑体"/>
                <w:sz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lang w:val="en-US" w:eastAsia="zh-CN"/>
              </w:rPr>
              <w:t>俯卧撑（次/2分钟）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51" w:leftChars="0" w:right="12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1" w:leftChars="0" w:right="8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2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4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38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5" w:leftChars="0" w:right="8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8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42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0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1" w:leftChars="0" w:right="80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46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0" w:leftChars="0" w:right="80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48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98" w:leftChars="0" w:right="15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50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pStyle w:val="17"/>
              <w:spacing w:line="278" w:lineRule="auto"/>
              <w:ind w:left="121" w:right="201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95"/>
                <w:tab w:val="clear" w:pos="31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Chars="200" w:right="0" w:rightChars="0"/>
              <w:jc w:val="left"/>
              <w:textAlignment w:val="auto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单个或分组考核</w:t>
            </w: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 w:rightChars="0" w:firstLine="408" w:firstLineChars="200"/>
              <w:jc w:val="left"/>
              <w:textAlignment w:val="auto"/>
              <w:rPr>
                <w:sz w:val="21"/>
              </w:rPr>
            </w:pP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"http://www.so.com/s?q=%E6%89%8B%E6%8E%8C&amp;ie=utf-8&amp;src=internal_wenda_recommend_textn"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手掌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按地，两手掌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"http://www.so.com/s?q=%E9%97%B4%E8%B7%9D&amp;ie=utf-8&amp;src=internal_wenda_recommend_textn"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间距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与肩同宽，两腿向后伸直，用两手掌和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"http://www.so.com/s?q=%E8%84%9A%E5%B0%96&amp;ie=utf-8&amp;src=internal_wenda_recommend_textn"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脚尖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作为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"http://www.so.com/s?q=%E6%94%AF%E6%92%91%E7%82%B9&amp;ie=utf-8&amp;src=internal_wenda_recommend_textn"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支撑点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，并保持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"http://www.so.com/s?q=%E8%83%8C%E9%83%A8&amp;ie=utf-8&amp;src=internal_wenda_recommend_textn"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背部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向上腹面向下的姿势。开始俯卧时，双臂向身体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"http://www.so.com/s?q=%E4%B8%A4%E4%BE%A7&amp;ie=utf-8&amp;src=internal_wenda_recommend_textn"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两侧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弯曲，使身体垂直下降，下降到将肩、肘保持同一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"http://www.so.com/s?q=%E5%B9%B3%E9%9D%A2&amp;ie=utf-8&amp;src=internal_wenda_recommend_textn"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平面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。撑起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"http://www.so.com/s?q=%E8%BF%87%E7%A8%8B&amp;ie=utf-8&amp;src=internal_wenda_recommend_textn"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过程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则正好与俯卧相反，应用双臂力量支撑起身体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"http://www.so.com/s?q=%E9%87%8D%E9%87%8F&amp;ie=utf-8&amp;src=internal_wenda_recommend_textn"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重量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，并恢复到原姿势</w:t>
            </w: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这便完成了一个俯卧撑动作。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534" w:leftChars="0" w:right="0" w:rightChars="0"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</w:t>
            </w:r>
            <w:r>
              <w:rPr>
                <w:rFonts w:hint="eastAsia"/>
                <w:spacing w:val="-3"/>
                <w:sz w:val="21"/>
                <w:lang w:eastAsia="zh-CN"/>
              </w:rPr>
              <w:t>次数</w:t>
            </w:r>
            <w:r>
              <w:rPr>
                <w:spacing w:val="-3"/>
                <w:sz w:val="21"/>
              </w:rPr>
              <w:t>计算成绩。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534" w:leftChars="0" w:right="0" w:rightChars="0"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hint="eastAsia"/>
                <w:spacing w:val="-10"/>
                <w:sz w:val="21"/>
                <w:lang w:val="en-US" w:eastAsia="zh-CN"/>
              </w:rPr>
              <w:t>2次</w:t>
            </w:r>
            <w:r>
              <w:rPr>
                <w:spacing w:val="-13"/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7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17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13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 w:eastAsia="zh-CN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1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33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7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48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left="533" w:leftChars="0" w:right="0" w:rightChars="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417" w:right="850" w:bottom="1417" w:left="850" w:header="720" w:footer="720" w:gutter="0"/>
        </w:sectPr>
      </w:pPr>
    </w:p>
    <w:p/>
    <w:sectPr>
      <w:pgSz w:w="11910" w:h="16840"/>
      <w:pgMar w:top="2098" w:right="1474" w:bottom="198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3EA02C"/>
    <w:multiLevelType w:val="singleLevel"/>
    <w:tmpl w:val="F73EA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409560B"/>
    <w:rsid w:val="058354E4"/>
    <w:rsid w:val="0B541077"/>
    <w:rsid w:val="106D27C7"/>
    <w:rsid w:val="1D5B0C7D"/>
    <w:rsid w:val="2BAB4D8D"/>
    <w:rsid w:val="2E307C55"/>
    <w:rsid w:val="37484689"/>
    <w:rsid w:val="37E73129"/>
    <w:rsid w:val="3CB7015C"/>
    <w:rsid w:val="40F76FBE"/>
    <w:rsid w:val="54D52690"/>
    <w:rsid w:val="5DEF3032"/>
    <w:rsid w:val="62EF3059"/>
    <w:rsid w:val="711D559F"/>
    <w:rsid w:val="716B6D24"/>
    <w:rsid w:val="756D5937"/>
    <w:rsid w:val="75EC73E5"/>
    <w:rsid w:val="7B611B33"/>
    <w:rsid w:val="7B865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iPriority w:val="0"/>
    <w:rPr>
      <w:color w:val="136EC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uiPriority w:val="0"/>
    <w:rPr>
      <w:color w:val="136EC2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18">
    <w:name w:val="s1"/>
    <w:basedOn w:val="6"/>
    <w:qFormat/>
    <w:uiPriority w:val="0"/>
    <w:rPr>
      <w:color w:val="DDDDDD"/>
      <w:sz w:val="14"/>
      <w:szCs w:val="14"/>
    </w:rPr>
  </w:style>
  <w:style w:type="character" w:customStyle="1" w:styleId="19">
    <w:name w:val="btn-task-gray"/>
    <w:basedOn w:val="6"/>
    <w:uiPriority w:val="0"/>
  </w:style>
  <w:style w:type="character" w:customStyle="1" w:styleId="20">
    <w:name w:val="btn-task-gray1"/>
    <w:basedOn w:val="6"/>
    <w:qFormat/>
    <w:uiPriority w:val="0"/>
    <w:rPr>
      <w:color w:val="FFFFFF"/>
      <w:u w:val="none"/>
      <w:shd w:val="clear" w:fill="CCCCCC"/>
    </w:rPr>
  </w:style>
  <w:style w:type="character" w:customStyle="1" w:styleId="21">
    <w:name w:val="btn-auto-1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白黎涛</cp:lastModifiedBy>
  <cp:lastPrinted>2021-03-08T03:01:29Z</cp:lastPrinted>
  <dcterms:modified xsi:type="dcterms:W3CDTF">2021-03-08T03:01:32Z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592439249_btnclosed</vt:lpwstr>
  </property>
</Properties>
</file>