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52" w:afterAutospacing="0" w:line="500" w:lineRule="atLeast"/>
        <w:ind w:left="1272" w:right="0" w:hanging="7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ascii="黑体" w:hAnsi="宋体" w:eastAsia="黑体" w:cs="黑体"/>
          <w:b w:val="0"/>
          <w:sz w:val="32"/>
          <w:szCs w:val="32"/>
        </w:rPr>
        <w:t>需求计划</w:t>
      </w:r>
    </w:p>
    <w:tbl>
      <w:tblPr>
        <w:tblW w:w="14757" w:type="dxa"/>
        <w:jc w:val="center"/>
        <w:tblInd w:w="-31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33"/>
        <w:gridCol w:w="2498"/>
        <w:gridCol w:w="1804"/>
        <w:gridCol w:w="1833"/>
        <w:gridCol w:w="2151"/>
        <w:gridCol w:w="1799"/>
        <w:gridCol w:w="2539"/>
        <w:gridCol w:w="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需求专业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研究方向</w:t>
            </w:r>
          </w:p>
        </w:tc>
        <w:tc>
          <w:tcPr>
            <w:tcW w:w="1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所属一级学科</w:t>
            </w: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最高学历、学位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2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其他要求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法学理论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宪法学与行政法学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刑法学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民商法学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诉讼法学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经济法学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国际法学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知识产权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1.国内一流大学或一流学科所在高校教授，或知名科研院所具有正高级专业技术职务者。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海外优秀人才通过学校学术水平认定为正高级专业技术职务者。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岁以下；二、三级教授或省部级以上人才工程入选者年龄可适当放宽；业绩成果特别突出者，年龄可适当放宽。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科研成果突出（在法学类权威期刊、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CSSCI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发表高水平论文，主持有国家社会科学基金项目）。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文学与新闻传播学院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文艺学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西方文论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中国语言文学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中国少数民族文学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中国语言文学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中国少数民族语言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中国语言文学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比较文学与世界文学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中国语言文学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新闻传播学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新闻传播学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民族学与社会学学院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人类学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历史学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社会工作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中国近现代基本问题研究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党建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技术经济及管理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旅游管理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管理科学与工程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工商管理或管理科学与工程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经济学相关专业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主持有国家社会科学或自然科学基金项目。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公共管理学院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地方治理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大数据治理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公共管理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教育学原理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国内外知名高校博士优先；有博士后研究工作经历者优先；主持有国家级科研项目者优先；具有 博士生导师资格者优先。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课程与教学论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国内外知名高校博士优先；有博士后研究工作经历者优先；主持有国家级科研项目者优先；具有博士生导师资格者优先。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电子信息类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集成电路设计与分析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电子科学与技术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仪器科学与技术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本科为电子信息类专业（电子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仪器与仪表）背景。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电子信息类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无线通信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模式识别与人工智能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信息与通信工程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生物医学工程专业或相关专业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生物医学传感生物物理或医学信息处理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工学或理学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1.国内一流大学或一流学科所在高校教授，或知名科研院所具有正高级专业技术职务者。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海外优秀人才通过学校学术水平认定为正高级专业技术职务者。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3.年龄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岁以下；二、三级教授或省部级以上人才工程入选者年龄可适当放宽；业绩成果特别突出者，年龄可适当放宽。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化学与材料科学学院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物理化学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催化工程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高分子化学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功能材料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材料学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无机材料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材料化学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材料学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分析化学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生物分析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有机化学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有机合成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生命科学学院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生化与分子生物学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植物基因组组学或转录组学研究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干细胞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在国外高水平科研院所任职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年左右；在高水平杂志上发表过多篇科研论文。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免疫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医学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在国外高水平科研院所任职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年左右；在高水平杂志上发表过多篇科研论文。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植物学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民族植物学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植物分类学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植物学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在国外知名大学或科研机构任职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年及以上；具有工科背景或植物分类研究背景；在高水平杂志上发表过多篇科研论文。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神经生物学或神经科学相关学科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神经结构和功能与疾病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基础医学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具有博士后研究工作经历。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生物工程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生物工程相关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食品质量与安全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食品科学与工程相关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生物制药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生物制药相关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药学、中药学、生物学相关专业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中药学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生物学相关领域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中药学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1.国内一流大学或一流学科所在高校教授，或知名科研院所具有正高级专业技术职务者。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海外优秀人才通过学校学术水平认定为正高级专业技术职务者。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岁以下；二、三级教授或省部级以上人才工程入选者年龄可适当放宽；业绩成果特别突出者，年龄可适当放宽。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资源与环境学院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环境工程微生物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环境科学与工程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水文与水资源工程及相关专业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水资源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水环境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水利工程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资源循环科学与工程及相关专业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电子废弃物资源化利用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冶金工程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音乐舞蹈学院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作曲与作曲技术理论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硕士及以上学位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本硕阶段具备作曲专业学习背景；有高校教学经历、有硕士研究生导师资格者优先并年龄可适当放宽。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舞蹈理论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舞蹈学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硕士及以上学位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本硕阶段具备舞蹈专业学习背景；有高校教学经历、有硕士研究生导师资格者优先并年龄可适当放宽。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美术学院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设计学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建筑设计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建筑技术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城乡规划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建筑学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硕士及以上学位</w:t>
            </w: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正高级职称且取得国家一级注册建筑师资格的业绩突出者，学历和年龄条件可适当放宽。</w:t>
            </w:r>
          </w:p>
        </w:tc>
        <w:tc>
          <w:tcPr>
            <w:tcW w:w="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总计</w:t>
            </w:r>
          </w:p>
        </w:tc>
        <w:tc>
          <w:tcPr>
            <w:tcW w:w="126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30</w:t>
            </w:r>
          </w:p>
        </w:tc>
        <w:tc>
          <w:tcPr>
            <w:tcW w:w="5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917A3"/>
    <w:rsid w:val="2D691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7"/>
    <w:basedOn w:val="4"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2019-01-31T09:47:00Z</dcterms:created>
  <dc:creator>ASUS</dc:creator>
  <cp:lastModifiedBy>ASUS</cp:lastModifiedBy>
  <dcterms:modified xsi:type="dcterms:W3CDTF">2019-01-31T09:47:27Z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