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附件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1</w:t>
      </w:r>
    </w:p>
    <w:p>
      <w:pPr>
        <w:spacing w:line="520" w:lineRule="exact"/>
        <w:ind w:firstLine="440" w:firstLineChars="100"/>
        <w:rPr>
          <w:rFonts w:hint="eastAsia" w:ascii="宋体" w:hAnsi="宋体" w:eastAsia="宋体" w:cs="宋体"/>
          <w:color w:val="auto"/>
          <w:kern w:val="0"/>
          <w:sz w:val="44"/>
          <w:szCs w:val="44"/>
        </w:rPr>
      </w:pPr>
      <w:r>
        <w:rPr>
          <w:rFonts w:hint="eastAsia" w:ascii="宋体" w:hAnsi="宋体" w:eastAsia="宋体" w:cs="宋体"/>
          <w:color w:val="auto"/>
          <w:kern w:val="0"/>
          <w:sz w:val="44"/>
          <w:szCs w:val="44"/>
        </w:rPr>
        <w:t>芷江县2020年</w:t>
      </w:r>
      <w:r>
        <w:rPr>
          <w:rFonts w:hint="eastAsia" w:ascii="宋体" w:hAnsi="宋体" w:eastAsia="宋体" w:cs="宋体"/>
          <w:color w:val="auto"/>
          <w:kern w:val="0"/>
          <w:sz w:val="44"/>
          <w:szCs w:val="44"/>
          <w:lang w:val="en-US" w:eastAsia="zh-CN"/>
        </w:rPr>
        <w:t>第二批</w:t>
      </w:r>
      <w:r>
        <w:rPr>
          <w:rFonts w:hint="eastAsia" w:ascii="宋体" w:hAnsi="宋体" w:eastAsia="宋体" w:cs="宋体"/>
          <w:color w:val="auto"/>
          <w:kern w:val="0"/>
          <w:sz w:val="44"/>
          <w:szCs w:val="44"/>
        </w:rPr>
        <w:t>事业单位引进高层次及急需紧缺人才需求目录</w:t>
      </w:r>
    </w:p>
    <w:tbl>
      <w:tblPr>
        <w:tblStyle w:val="4"/>
        <w:tblW w:w="5038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38"/>
        <w:gridCol w:w="880"/>
        <w:gridCol w:w="628"/>
        <w:gridCol w:w="792"/>
        <w:gridCol w:w="741"/>
        <w:gridCol w:w="668"/>
        <w:gridCol w:w="1155"/>
        <w:gridCol w:w="566"/>
        <w:gridCol w:w="2411"/>
        <w:gridCol w:w="1941"/>
        <w:gridCol w:w="628"/>
        <w:gridCol w:w="733"/>
        <w:gridCol w:w="719"/>
        <w:gridCol w:w="1143"/>
        <w:gridCol w:w="59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tblHeader/>
        </w:trPr>
        <w:tc>
          <w:tcPr>
            <w:tcW w:w="1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Times New Roman" w:hAnsi="Times New Roman" w:eastAsia="仿宋"/>
                <w:b/>
                <w:bCs/>
                <w:color w:val="auto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3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Times New Roman" w:hAnsi="Times New Roman" w:eastAsia="仿宋"/>
                <w:b/>
                <w:bCs/>
                <w:color w:val="auto"/>
                <w:kern w:val="0"/>
                <w:sz w:val="22"/>
                <w:szCs w:val="22"/>
              </w:rPr>
              <w:t>引进单位</w:t>
            </w:r>
          </w:p>
        </w:tc>
        <w:tc>
          <w:tcPr>
            <w:tcW w:w="22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Times New Roman" w:hAnsi="Times New Roman" w:eastAsia="仿宋"/>
                <w:b/>
                <w:bCs/>
                <w:color w:val="auto"/>
                <w:kern w:val="0"/>
                <w:sz w:val="22"/>
                <w:szCs w:val="22"/>
              </w:rPr>
              <w:t>单位</w:t>
            </w:r>
            <w:r>
              <w:rPr>
                <w:rFonts w:ascii="Times New Roman" w:hAnsi="Times New Roman" w:eastAsia="仿宋"/>
                <w:b/>
                <w:bCs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Times New Roman" w:hAnsi="Times New Roman" w:eastAsia="仿宋"/>
                <w:b/>
                <w:bCs/>
                <w:color w:val="auto"/>
                <w:kern w:val="0"/>
                <w:sz w:val="22"/>
                <w:szCs w:val="22"/>
              </w:rPr>
              <w:t>性质</w:t>
            </w:r>
          </w:p>
        </w:tc>
        <w:tc>
          <w:tcPr>
            <w:tcW w:w="2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Times New Roman" w:hAnsi="Times New Roman" w:eastAsia="仿宋"/>
                <w:b/>
                <w:bCs/>
                <w:color w:val="auto"/>
                <w:kern w:val="0"/>
                <w:sz w:val="22"/>
                <w:szCs w:val="22"/>
              </w:rPr>
              <w:t>需求</w:t>
            </w:r>
            <w:r>
              <w:rPr>
                <w:rFonts w:ascii="Times New Roman" w:hAnsi="Times New Roman" w:eastAsia="仿宋"/>
                <w:b/>
                <w:bCs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Times New Roman" w:hAnsi="Times New Roman" w:eastAsia="仿宋"/>
                <w:b/>
                <w:bCs/>
                <w:color w:val="auto"/>
                <w:kern w:val="0"/>
                <w:sz w:val="22"/>
                <w:szCs w:val="22"/>
              </w:rPr>
              <w:t>岗位</w:t>
            </w:r>
          </w:p>
        </w:tc>
        <w:tc>
          <w:tcPr>
            <w:tcW w:w="26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Times New Roman" w:hAnsi="Times New Roman" w:eastAsia="仿宋"/>
                <w:b/>
                <w:bCs/>
                <w:color w:val="auto"/>
                <w:kern w:val="0"/>
                <w:sz w:val="22"/>
                <w:szCs w:val="22"/>
              </w:rPr>
              <w:t>岗位</w:t>
            </w:r>
            <w:r>
              <w:rPr>
                <w:rFonts w:ascii="Times New Roman" w:hAnsi="Times New Roman" w:eastAsia="仿宋"/>
                <w:b/>
                <w:bCs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Times New Roman" w:hAnsi="Times New Roman" w:eastAsia="仿宋"/>
                <w:b/>
                <w:bCs/>
                <w:color w:val="auto"/>
                <w:kern w:val="0"/>
                <w:sz w:val="22"/>
                <w:szCs w:val="22"/>
              </w:rPr>
              <w:t>描述</w:t>
            </w:r>
          </w:p>
        </w:tc>
        <w:tc>
          <w:tcPr>
            <w:tcW w:w="23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Times New Roman" w:hAnsi="Times New Roman" w:eastAsia="仿宋"/>
                <w:b/>
                <w:bCs/>
                <w:color w:val="auto"/>
                <w:kern w:val="0"/>
                <w:sz w:val="22"/>
                <w:szCs w:val="22"/>
              </w:rPr>
              <w:t>引进</w:t>
            </w:r>
            <w:r>
              <w:rPr>
                <w:rFonts w:ascii="Times New Roman" w:hAnsi="Times New Roman" w:eastAsia="仿宋"/>
                <w:b/>
                <w:bCs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Times New Roman" w:hAnsi="Times New Roman" w:eastAsia="仿宋"/>
                <w:b/>
                <w:bCs/>
                <w:color w:val="auto"/>
                <w:kern w:val="0"/>
                <w:sz w:val="22"/>
                <w:szCs w:val="22"/>
              </w:rPr>
              <w:t>计划</w:t>
            </w:r>
            <w:r>
              <w:rPr>
                <w:rFonts w:ascii="Times New Roman" w:hAnsi="Times New Roman" w:eastAsia="仿宋"/>
                <w:b/>
                <w:bCs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eastAsia="仿宋"/>
                <w:b/>
                <w:bCs/>
                <w:color w:val="auto"/>
                <w:kern w:val="0"/>
                <w:sz w:val="22"/>
                <w:szCs w:val="22"/>
              </w:rPr>
              <w:t>(</w:t>
            </w:r>
            <w:r>
              <w:rPr>
                <w:rFonts w:hint="eastAsia" w:ascii="Times New Roman" w:hAnsi="Times New Roman" w:eastAsia="仿宋"/>
                <w:b/>
                <w:bCs/>
                <w:color w:val="auto"/>
                <w:kern w:val="0"/>
                <w:sz w:val="22"/>
                <w:szCs w:val="22"/>
              </w:rPr>
              <w:t>人数</w:t>
            </w:r>
            <w:r>
              <w:rPr>
                <w:rFonts w:ascii="Times New Roman" w:hAnsi="Times New Roman" w:eastAsia="仿宋"/>
                <w:b/>
                <w:bCs/>
                <w:color w:val="auto"/>
                <w:kern w:val="0"/>
                <w:sz w:val="22"/>
                <w:szCs w:val="22"/>
              </w:rPr>
              <w:t>)</w:t>
            </w:r>
          </w:p>
        </w:tc>
        <w:tc>
          <w:tcPr>
            <w:tcW w:w="2146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Times New Roman" w:hAnsi="Times New Roman" w:eastAsia="仿宋"/>
                <w:b/>
                <w:bCs/>
                <w:color w:val="auto"/>
                <w:kern w:val="0"/>
                <w:sz w:val="22"/>
                <w:szCs w:val="22"/>
              </w:rPr>
              <w:t>岗位要求</w:t>
            </w:r>
          </w:p>
        </w:tc>
        <w:tc>
          <w:tcPr>
            <w:tcW w:w="22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Times New Roman" w:hAnsi="Times New Roman" w:eastAsia="仿宋"/>
                <w:b/>
                <w:bCs/>
                <w:color w:val="auto"/>
                <w:kern w:val="0"/>
                <w:sz w:val="22"/>
                <w:szCs w:val="22"/>
              </w:rPr>
              <w:t>是否限应届毕业生</w:t>
            </w:r>
          </w:p>
        </w:tc>
        <w:tc>
          <w:tcPr>
            <w:tcW w:w="25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Times New Roman" w:hAnsi="Times New Roman" w:eastAsia="仿宋"/>
                <w:b/>
                <w:bCs/>
                <w:color w:val="auto"/>
                <w:kern w:val="0"/>
                <w:sz w:val="22"/>
                <w:szCs w:val="22"/>
              </w:rPr>
              <w:t>引进单位待遇</w:t>
            </w:r>
          </w:p>
        </w:tc>
        <w:tc>
          <w:tcPr>
            <w:tcW w:w="6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Times New Roman" w:hAnsi="Times New Roman" w:eastAsia="仿宋"/>
                <w:b/>
                <w:bCs/>
                <w:color w:val="auto"/>
                <w:kern w:val="0"/>
                <w:sz w:val="22"/>
                <w:szCs w:val="22"/>
              </w:rPr>
              <w:t>引进单位联系方式</w:t>
            </w:r>
          </w:p>
        </w:tc>
        <w:tc>
          <w:tcPr>
            <w:tcW w:w="2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黑体"/>
                <w:color w:val="auto"/>
                <w:sz w:val="22"/>
                <w:szCs w:val="22"/>
              </w:rPr>
            </w:pPr>
            <w:r>
              <w:rPr>
                <w:rFonts w:hint="eastAsia" w:ascii="Times New Roman" w:hAnsi="Times New Roman" w:eastAsia="仿宋"/>
                <w:b/>
                <w:bCs/>
                <w:color w:val="auto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1" w:hRule="atLeast"/>
          <w:tblHeader/>
        </w:trPr>
        <w:tc>
          <w:tcPr>
            <w:tcW w:w="1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Times New Roman" w:hAnsi="Times New Roman" w:eastAsia="仿宋"/>
                <w:b/>
                <w:bCs/>
                <w:color w:val="auto"/>
                <w:kern w:val="0"/>
                <w:sz w:val="22"/>
                <w:szCs w:val="22"/>
              </w:rPr>
              <w:t>学历学位 要求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Times New Roman" w:hAnsi="Times New Roman" w:eastAsia="仿宋"/>
                <w:b/>
                <w:bCs/>
                <w:color w:val="auto"/>
                <w:kern w:val="0"/>
                <w:sz w:val="22"/>
                <w:szCs w:val="22"/>
              </w:rPr>
              <w:t>职称要求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Times New Roman" w:hAnsi="Times New Roman" w:eastAsia="仿宋"/>
                <w:b/>
                <w:bCs/>
                <w:color w:val="auto"/>
                <w:kern w:val="0"/>
                <w:sz w:val="22"/>
                <w:szCs w:val="22"/>
              </w:rPr>
              <w:t>专业要求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Times New Roman" w:hAnsi="Times New Roman" w:eastAsia="仿宋"/>
                <w:b/>
                <w:bCs/>
                <w:color w:val="auto"/>
                <w:kern w:val="0"/>
                <w:sz w:val="22"/>
                <w:szCs w:val="22"/>
              </w:rPr>
              <w:t>其他要求</w:t>
            </w:r>
          </w:p>
        </w:tc>
        <w:tc>
          <w:tcPr>
            <w:tcW w:w="2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5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Times New Roman" w:hAnsi="Times New Roman" w:eastAsia="仿宋"/>
                <w:b/>
                <w:bCs/>
                <w:color w:val="auto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Times New Roman" w:hAnsi="Times New Roman" w:eastAsia="仿宋"/>
                <w:b/>
                <w:bCs/>
                <w:color w:val="auto"/>
                <w:kern w:val="0"/>
                <w:sz w:val="22"/>
                <w:szCs w:val="22"/>
              </w:rPr>
              <w:t>联系电话及</w:t>
            </w:r>
            <w:r>
              <w:rPr>
                <w:rFonts w:ascii="Times New Roman" w:hAnsi="Times New Roman" w:eastAsia="仿宋"/>
                <w:b/>
                <w:bCs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Times New Roman" w:hAnsi="Times New Roman" w:eastAsia="仿宋"/>
                <w:b/>
                <w:bCs/>
                <w:color w:val="auto"/>
                <w:kern w:val="0"/>
                <w:sz w:val="22"/>
                <w:szCs w:val="22"/>
              </w:rPr>
              <w:t>邮箱地址</w:t>
            </w:r>
          </w:p>
        </w:tc>
        <w:tc>
          <w:tcPr>
            <w:tcW w:w="2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0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1001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芷江县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政府办下属事业单位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全额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事业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文秘</w:t>
            </w: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文秘</w:t>
            </w: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全日制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本科及以上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/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hint="default" w:ascii="Times New Roman" w:hAnsi="Times New Roman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汉语言文学、秘书学、应用语言学及相关专业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/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按相关政策执行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  <w:lang w:val="en-US" w:eastAsia="zh-CN"/>
              </w:rPr>
              <w:t>舒斐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</w:rPr>
              <w:t>18974513513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5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100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芷江县委党校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全额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事业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专业技术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岗位</w:t>
            </w: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教师</w:t>
            </w: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/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行政管理、马克思主义哲学、中国哲学、宪法学与行政法学、政治学理论、科学社会主义与国际共产主义运动、中共党史（含党的学说与党的建设）、国际政治、马克思主义基本原理、马克思主义发展史、马克思中国化研究、中国近现代史、政治经济学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前一学历为全日制本科（不含本科三批、专升本）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按相关政策执行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蒲顺桃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13874450822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4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100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芷江县</w:t>
            </w:r>
          </w:p>
          <w:p>
            <w:pPr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民族职业中专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全额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事业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心理健康教育教师</w:t>
            </w: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教师</w:t>
            </w: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全日制硕士研究生及以上或“双一流”、 “211”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院校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/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研究生：基础心理学、发展与教育心理学、应用心理学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 xml:space="preserve">                                                         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本科：心理学、应用心理学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有相应或同等学段的学科教师资格证（应届毕业生可在试用期内取得）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按相关政策执行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毛成亮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13974557766</w:t>
            </w:r>
          </w:p>
        </w:tc>
        <w:tc>
          <w:tcPr>
            <w:tcW w:w="2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2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Times New Roman" w:hAnsi="Times New Roman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100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311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芷江县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民族职业中专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全额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事业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教师</w:t>
            </w: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全日制硕士研究生及以上或“双一流”、 “211”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院校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/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数学类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有相应或同等学段的学科教师资格证（应届毕业生可在试用期内取得）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按相关政策执行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毛成亮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right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13974557766</w:t>
            </w:r>
          </w:p>
        </w:tc>
        <w:tc>
          <w:tcPr>
            <w:tcW w:w="2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5" w:hRule="atLeast"/>
        </w:trPr>
        <w:tc>
          <w:tcPr>
            <w:tcW w:w="1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1005</w:t>
            </w:r>
          </w:p>
        </w:tc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芷江县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一中</w:t>
            </w:r>
          </w:p>
        </w:tc>
        <w:tc>
          <w:tcPr>
            <w:tcW w:w="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全额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事业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政治教师</w:t>
            </w: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教师</w:t>
            </w: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全日制硕士研究生及以上或“双一流”、 “211”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院校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/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政治学类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有相应或同等学段的学科教师资格证（应届毕业生可在试用期内取得）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按相关政策执行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杨瑞华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13207456532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5" w:hRule="atLeast"/>
        </w:trPr>
        <w:tc>
          <w:tcPr>
            <w:tcW w:w="190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1006</w:t>
            </w:r>
          </w:p>
        </w:tc>
        <w:tc>
          <w:tcPr>
            <w:tcW w:w="311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芷江县</w:t>
            </w:r>
          </w:p>
          <w:p>
            <w:pPr>
              <w:spacing w:line="300" w:lineRule="exact"/>
              <w:jc w:val="center"/>
              <w:textAlignment w:val="center"/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一中</w:t>
            </w:r>
          </w:p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2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全额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事业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数学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教师</w:t>
            </w: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教师</w:t>
            </w: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全日制硕士研究生及以上或“双一流”、 “211”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院校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/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数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学类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有相应或同等学段的学科教师资格证（应届毕业生可在试用期内取得）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按相关政策执行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杨瑞华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13207456532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5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1007</w:t>
            </w:r>
          </w:p>
        </w:tc>
        <w:tc>
          <w:tcPr>
            <w:tcW w:w="31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全额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事业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化学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教师</w:t>
            </w: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教师</w:t>
            </w: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全日制硕士研究生及以上或“双一流”、 “211”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院校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/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化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学类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有相应或同等学段的学科教师资格证（应届毕业生可在试用期内取得）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按相关政策执行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杨瑞华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13207456532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2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Times New Roman" w:hAnsi="Times New Roman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100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31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全额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事业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物理教师</w:t>
            </w: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教师</w:t>
            </w: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全日制硕士研究生及以上或“双一流”、 “211”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院校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/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物理学类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有相应或同等学段的学科教师资格证（应届毕业生可在试用期内取得）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按相关政策执行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杨瑞华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13207456532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2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100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11" w:type="pct"/>
            <w:vMerge w:val="restart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芷江县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一中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全额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事业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生物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教师</w:t>
            </w: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教师</w:t>
            </w: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全日制硕士研究生及以上或“双一流”、 “211”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院校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/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研究生：生物学类</w:t>
            </w:r>
          </w:p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本科：生物科学类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有相应或同等学段的学科教师资格证（应届毕业生可在试用期内取得）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按相关政策执行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杨瑞华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13207456532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2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1010</w:t>
            </w:r>
          </w:p>
        </w:tc>
        <w:tc>
          <w:tcPr>
            <w:tcW w:w="31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全额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事业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语文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教师</w:t>
            </w: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教师</w:t>
            </w: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全日制硕士研究生及以上或“双一流”、 “211”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院校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/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研究生：语言学及应用语言学、汉语言文学、中国古代文学、中国现当代文学、中国古典文献学</w:t>
            </w:r>
          </w:p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本科：汉语言文学、汉语言、应用语言学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有相应或同等学段的学科教师资格证（应届毕业生可在试用期内取得）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按相关政策执行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杨瑞华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13207456532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2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1011</w:t>
            </w:r>
          </w:p>
        </w:tc>
        <w:tc>
          <w:tcPr>
            <w:tcW w:w="31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全额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事业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英语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教师</w:t>
            </w: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教师</w:t>
            </w: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全日制硕士研究生及以上或“双一流”、 “211”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院校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/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研究生：英国语言文学、外国语言学及应用语言学</w:t>
            </w:r>
          </w:p>
          <w:p>
            <w:pPr>
              <w:spacing w:line="3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本科：英语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有相应或同等学段的学科教师资格证（应届毕业生可在试用期内取得）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按相关政策执行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杨瑞华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13207456532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4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10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芷师</w:t>
            </w:r>
          </w:p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中学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全额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事业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教师</w:t>
            </w: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全日制硕士研究生及以上或“双一流”、 “211”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院校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/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数学类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有相应或同等学段的学科教师资格证（应届毕业生可在试用期内取得）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按相关政策执行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杨瑞华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13207456532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4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10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  <w:lang w:val="en-US" w:eastAsia="zh-CN"/>
              </w:rPr>
              <w:t>芷师中学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全额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事业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物理教师</w:t>
            </w: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教师</w:t>
            </w: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全日制硕士研究生及以上或“双一流”、 “211”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院校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/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物理学类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有相应或同等学段的学科教师资格证（应届毕业生可在试用期内取得）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按相关政策执行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杨瑞华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13207456532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9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1010</w:t>
            </w:r>
          </w:p>
        </w:tc>
        <w:tc>
          <w:tcPr>
            <w:tcW w:w="311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芷江县</w:t>
            </w:r>
          </w:p>
          <w:p>
            <w:pPr>
              <w:spacing w:line="280" w:lineRule="exact"/>
              <w:jc w:val="center"/>
              <w:textAlignment w:val="center"/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三中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全额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事业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教师</w:t>
            </w: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全日制硕士研究生及以上或“双一流”、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211院校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/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数学类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有相应或同等学段的学科教师资格证（应届毕业生可在试用期内取得）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按相关政策执行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杨瑞华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13207456532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4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1011</w:t>
            </w:r>
          </w:p>
        </w:tc>
        <w:tc>
          <w:tcPr>
            <w:tcW w:w="31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全额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事业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物理教师</w:t>
            </w: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教师</w:t>
            </w: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全日制硕士研究生及以上或“双一流”、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211院校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/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物理学类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有相应或同等学段的学科教师资格证（应届毕业生可在试用期内取得）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按相关政策执行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杨瑞华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13207456532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5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1012</w:t>
            </w:r>
          </w:p>
        </w:tc>
        <w:tc>
          <w:tcPr>
            <w:tcW w:w="31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全额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事业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化学教师</w:t>
            </w: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教师</w:t>
            </w: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全日制硕士研究生及以上或“双一流”、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211院校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/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化学类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有相应或同等学段的学科教师资格证（应届毕业生可在试用期内取得）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按相关政策执行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杨瑞华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13207456532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9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1013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  <w:lang w:val="en-US" w:eastAsia="zh-CN"/>
              </w:rPr>
              <w:t>芷江县三中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全额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事业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生物教师</w:t>
            </w: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教师</w:t>
            </w: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全日制硕士研究生及以上或“双一流”、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211院校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/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Style w:val="7"/>
                <w:rFonts w:hint="eastAsia" w:ascii="Times New Roman" w:hAnsi="Times New Roman" w:cs="Times New Roman"/>
                <w:color w:val="auto"/>
              </w:rPr>
              <w:t>研究生：生物学类</w:t>
            </w:r>
            <w:r>
              <w:rPr>
                <w:rStyle w:val="7"/>
                <w:rFonts w:ascii="Times New Roman" w:hAnsi="Times New Roman" w:cs="Times New Roman"/>
                <w:color w:val="auto"/>
              </w:rPr>
              <w:br w:type="textWrapping"/>
            </w:r>
            <w:r>
              <w:rPr>
                <w:rStyle w:val="7"/>
                <w:rFonts w:hint="eastAsia" w:ascii="Times New Roman" w:hAnsi="Times New Roman" w:cs="Times New Roman"/>
                <w:color w:val="auto"/>
              </w:rPr>
              <w:t>本科：生物科学类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有相应或同等学段的学科教师资格证（应届毕业生可在试用期内取得）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按相关政策执行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杨瑞华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13207456532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1014</w:t>
            </w:r>
          </w:p>
        </w:tc>
        <w:tc>
          <w:tcPr>
            <w:tcW w:w="31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芷江县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芙蓉学校</w:t>
            </w:r>
          </w:p>
          <w:p>
            <w:pPr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全额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事业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计算机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专业教师</w:t>
            </w: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教师</w:t>
            </w: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全日制本科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及以上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/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电子信息工程、电子科学与技术、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计算机科学与技术、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电子与计算机工程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有相应或同等学段的学科教师资格证（应届毕业生可在试用期内取得）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按相关政策执行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杨瑞华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13207456532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1015</w:t>
            </w:r>
          </w:p>
        </w:tc>
        <w:tc>
          <w:tcPr>
            <w:tcW w:w="31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全额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事业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心理健康教育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教师</w:t>
            </w: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教师</w:t>
            </w: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全日制本科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及以上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/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心理学类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有相应或同等学段的学科教师资格证（应届毕业生可在试用期内取得）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按相关政策执行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杨瑞华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13207456532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rPr>
                <w:rFonts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5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Times New Roman" w:hAnsi="Times New Roman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101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芷江县自然资源局下属城乡规划测绘事务中心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全额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事业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专业技术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岗位</w:t>
            </w: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城乡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规划</w:t>
            </w: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全日制硕士研究生及以上或“双一流”、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211院校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/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研究生：城市规划与设计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(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含风景园林规划与设计）、城市规划、市政工程、建筑学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本科生：城乡规划、给排水科学与工程、城市地下空间工程、建筑学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有相关工作经验者优先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按相关政策执行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梁春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13874500460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4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Times New Roman" w:hAnsi="Times New Roman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101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3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芷江县水利局下属事业单位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全额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事业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专业技术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岗位</w:t>
            </w: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水利工程建设</w:t>
            </w: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全日制硕士研究生及以上或“双一流”、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211院校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/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水工结构工程、水利水电工程、水务工程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有相关工作经验者优先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按相关政策执行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祁春华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right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13762947301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4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Times New Roman" w:hAnsi="Times New Roman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101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3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全额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事业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专业技术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岗位</w:t>
            </w: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财务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管理</w:t>
            </w: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全日制硕士研究生及以上或“双一流”、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211院校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/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研究生：会计学、会计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本科：会计学、财务管理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有相关工作经验者优先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按相关政策执行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祁春华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right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13762947301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4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10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芷江县农业农村局下属事业单位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全额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事业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专业技术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岗位</w:t>
            </w: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高标准农田建设</w:t>
            </w: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全日制硕士研究生及以上或“双一流”、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211院校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/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设施农业科学与工程、农业资源与环境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有相关工作经验者优先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按相关政策执行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郑元元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18075570688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4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10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芷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江县林业局下属事业单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位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全额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事业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专业技术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岗位</w:t>
            </w: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野生动植物保护</w:t>
            </w: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全日制硕士研究生及以上或“双一流”、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211院校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/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研究生：野生动植物保护与利用、森林保护学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本科：野生动物与自然保护区管理、动物科学、森林保护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适合男性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按相关政策执行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张梅龙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17774519800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5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Times New Roman" w:hAnsi="Times New Roman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102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芷江县网络安全和舆情监测中心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全额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事业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专业技术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岗位</w:t>
            </w: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网络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安全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与维护</w:t>
            </w: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全日制硕士研究生及以上或“双一流”、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211院校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/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研究生：计算机软件与理论、计算机应用技术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新闻学、传播学</w:t>
            </w:r>
          </w:p>
          <w:p>
            <w:pPr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本科：电子信息工程、信息安全、网络工程、计算机科学与技术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新闻学、传播学、网络与新媒体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熟悉计算机网络安全防护、服务器维护、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编程语言者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优先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br w:type="textWrapping"/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按相关政策执行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盛武桂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18169458920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4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10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芷江县</w:t>
            </w:r>
          </w:p>
          <w:p>
            <w:pPr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人民医院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差额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事业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专业技术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岗位</w:t>
            </w: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临床</w:t>
            </w: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</w:rPr>
              <w:t>全日制一批</w:t>
            </w:r>
          </w:p>
          <w:p>
            <w:pPr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</w:rPr>
              <w:t>本科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/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有相关工作经验者优先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按相关政策执行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滕有兰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13974576888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4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10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芷江县</w:t>
            </w:r>
          </w:p>
          <w:p>
            <w:pPr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中医医院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差额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事业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专业技术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岗位</w:t>
            </w: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临床</w:t>
            </w: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</w:rPr>
              <w:t>全日制一批</w:t>
            </w:r>
          </w:p>
          <w:p>
            <w:pPr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</w:rPr>
              <w:t>本科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/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有相关工作经验者优先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按相关政策执行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滕有兰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13974576888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26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</w:rPr>
              <w:t>合计</w:t>
            </w: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eastAsia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3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</w:tbl>
    <w:p>
      <w:pPr>
        <w:spacing w:line="520" w:lineRule="exact"/>
        <w:rPr>
          <w:rFonts w:ascii="Times New Roman" w:hAnsi="Times New Roman" w:eastAsiaTheme="majorEastAsia"/>
          <w:color w:val="auto"/>
          <w:kern w:val="0"/>
          <w:sz w:val="44"/>
          <w:szCs w:val="44"/>
        </w:rPr>
      </w:pPr>
    </w:p>
    <w:p>
      <w:pPr>
        <w:spacing w:line="520" w:lineRule="exact"/>
        <w:rPr>
          <w:rFonts w:ascii="Times New Roman" w:hAnsi="Times New Roman" w:eastAsiaTheme="majorEastAsia"/>
          <w:color w:val="auto"/>
          <w:kern w:val="0"/>
          <w:sz w:val="44"/>
          <w:szCs w:val="44"/>
        </w:rPr>
        <w:sectPr>
          <w:pgSz w:w="16838" w:h="11906" w:orient="landscape"/>
          <w:pgMar w:top="1587" w:right="1417" w:bottom="1417" w:left="1417" w:header="851" w:footer="1134" w:gutter="0"/>
          <w:cols w:space="0" w:num="1"/>
          <w:docGrid w:type="lines" w:linePitch="319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D45B3B"/>
    <w:rsid w:val="14D4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sz w:val="18"/>
      <w:szCs w:val="18"/>
    </w:rPr>
  </w:style>
  <w:style w:type="character" w:styleId="6">
    <w:name w:val="page number"/>
    <w:basedOn w:val="5"/>
    <w:qFormat/>
    <w:uiPriority w:val="99"/>
    <w:rPr>
      <w:rFonts w:ascii="Times New Roman" w:hAnsi="Times New Roman" w:eastAsia="宋体" w:cs="Times New Roman"/>
    </w:rPr>
  </w:style>
  <w:style w:type="character" w:customStyle="1" w:styleId="7">
    <w:name w:val="font1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2020-07-21T08:04:00Z</dcterms:created>
  <dc:creator>ycx</dc:creator>
  <cp:lastModifiedBy>ycx</cp:lastModifiedBy>
  <dcterms:modified xsi:type="dcterms:W3CDTF">2020-07-21T08:05:16Z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