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715" w:type="dxa"/>
        <w:tblInd w:w="2" w:type="dxa"/>
        <w:tblLayout w:type="autofit"/>
        <w:tblCellMar>
          <w:top w:w="0" w:type="dxa"/>
          <w:left w:w="0" w:type="dxa"/>
          <w:bottom w:w="0" w:type="dxa"/>
          <w:right w:w="0" w:type="dxa"/>
        </w:tblCellMar>
      </w:tblPr>
      <w:tblGrid>
        <w:gridCol w:w="1155"/>
        <w:gridCol w:w="870"/>
        <w:gridCol w:w="1170"/>
        <w:gridCol w:w="630"/>
        <w:gridCol w:w="555"/>
        <w:gridCol w:w="1365"/>
        <w:gridCol w:w="2220"/>
        <w:gridCol w:w="1125"/>
        <w:gridCol w:w="2070"/>
        <w:gridCol w:w="3555"/>
      </w:tblGrid>
      <w:tr>
        <w:tblPrEx>
          <w:tblCellMar>
            <w:top w:w="0" w:type="dxa"/>
            <w:left w:w="0" w:type="dxa"/>
            <w:bottom w:w="0" w:type="dxa"/>
            <w:right w:w="0" w:type="dxa"/>
          </w:tblCellMar>
        </w:tblPrEx>
        <w:trPr>
          <w:trHeight w:val="510" w:hRule="atLeast"/>
        </w:trPr>
        <w:tc>
          <w:tcPr>
            <w:tcW w:w="3195" w:type="dxa"/>
            <w:gridSpan w:val="3"/>
            <w:tcBorders>
              <w:top w:val="nil"/>
              <w:left w:val="nil"/>
              <w:bottom w:val="nil"/>
              <w:right w:val="nil"/>
            </w:tcBorders>
            <w:tcMar>
              <w:top w:w="15" w:type="dxa"/>
              <w:left w:w="15" w:type="dxa"/>
              <w:right w:w="15" w:type="dxa"/>
            </w:tcMar>
            <w:vAlign w:val="center"/>
          </w:tcPr>
          <w:p>
            <w:pPr>
              <w:widowControl/>
              <w:jc w:val="left"/>
              <w:textAlignment w:val="center"/>
              <w:rPr>
                <w:rFonts w:ascii="仿宋_GB2312" w:hAnsi="宋体" w:eastAsia="仿宋_GB2312"/>
                <w:color w:val="000000"/>
                <w:sz w:val="32"/>
                <w:szCs w:val="32"/>
              </w:rPr>
            </w:pPr>
            <w:r>
              <w:rPr>
                <w:rFonts w:hint="eastAsia" w:ascii="仿宋_GB2312" w:hAnsi="宋体" w:eastAsia="仿宋_GB2312" w:cs="仿宋_GB2312"/>
                <w:color w:val="000000"/>
                <w:kern w:val="0"/>
                <w:sz w:val="32"/>
                <w:szCs w:val="32"/>
              </w:rPr>
              <w:t>附件</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w:t>
            </w:r>
          </w:p>
        </w:tc>
        <w:tc>
          <w:tcPr>
            <w:tcW w:w="630" w:type="dxa"/>
            <w:tcBorders>
              <w:top w:val="nil"/>
              <w:left w:val="nil"/>
              <w:bottom w:val="nil"/>
              <w:right w:val="nil"/>
            </w:tcBorders>
            <w:noWrap/>
            <w:tcMar>
              <w:top w:w="15" w:type="dxa"/>
              <w:left w:w="15" w:type="dxa"/>
              <w:right w:w="15" w:type="dxa"/>
            </w:tcMar>
            <w:vAlign w:val="center"/>
          </w:tcPr>
          <w:p>
            <w:pPr>
              <w:jc w:val="center"/>
              <w:rPr>
                <w:rFonts w:ascii="宋体" w:hAnsi="宋体" w:eastAsia="宋体"/>
                <w:color w:val="000000"/>
                <w:sz w:val="22"/>
                <w:szCs w:val="22"/>
              </w:rPr>
            </w:pPr>
          </w:p>
        </w:tc>
        <w:tc>
          <w:tcPr>
            <w:tcW w:w="555" w:type="dxa"/>
            <w:tcBorders>
              <w:top w:val="nil"/>
              <w:left w:val="nil"/>
              <w:bottom w:val="nil"/>
              <w:right w:val="nil"/>
            </w:tcBorders>
            <w:noWrap/>
            <w:tcMar>
              <w:top w:w="15" w:type="dxa"/>
              <w:left w:w="15" w:type="dxa"/>
              <w:right w:w="15" w:type="dxa"/>
            </w:tcMar>
            <w:vAlign w:val="center"/>
          </w:tcPr>
          <w:p>
            <w:pPr>
              <w:jc w:val="center"/>
              <w:rPr>
                <w:rFonts w:ascii="宋体" w:hAnsi="宋体" w:eastAsia="宋体"/>
                <w:color w:val="000000"/>
                <w:sz w:val="22"/>
                <w:szCs w:val="22"/>
              </w:rPr>
            </w:pPr>
          </w:p>
        </w:tc>
        <w:tc>
          <w:tcPr>
            <w:tcW w:w="1365" w:type="dxa"/>
            <w:tcBorders>
              <w:top w:val="nil"/>
              <w:left w:val="nil"/>
              <w:bottom w:val="nil"/>
              <w:right w:val="nil"/>
            </w:tcBorders>
            <w:noWrap/>
            <w:tcMar>
              <w:top w:w="15" w:type="dxa"/>
              <w:left w:w="15" w:type="dxa"/>
              <w:right w:w="15" w:type="dxa"/>
            </w:tcMar>
            <w:vAlign w:val="center"/>
          </w:tcPr>
          <w:p>
            <w:pPr>
              <w:jc w:val="center"/>
              <w:rPr>
                <w:rFonts w:ascii="宋体" w:hAnsi="宋体" w:eastAsia="宋体"/>
                <w:color w:val="000000"/>
                <w:sz w:val="22"/>
                <w:szCs w:val="22"/>
              </w:rPr>
            </w:pPr>
          </w:p>
        </w:tc>
        <w:tc>
          <w:tcPr>
            <w:tcW w:w="2220" w:type="dxa"/>
            <w:tcBorders>
              <w:top w:val="nil"/>
              <w:left w:val="nil"/>
              <w:bottom w:val="nil"/>
              <w:right w:val="nil"/>
            </w:tcBorders>
            <w:noWrap/>
            <w:tcMar>
              <w:top w:w="15" w:type="dxa"/>
              <w:left w:w="15" w:type="dxa"/>
              <w:right w:w="15" w:type="dxa"/>
            </w:tcMar>
            <w:vAlign w:val="center"/>
          </w:tcPr>
          <w:p>
            <w:pPr>
              <w:jc w:val="center"/>
              <w:rPr>
                <w:rFonts w:ascii="宋体" w:hAnsi="宋体" w:eastAsia="宋体"/>
                <w:color w:val="000000"/>
                <w:sz w:val="22"/>
                <w:szCs w:val="22"/>
              </w:rPr>
            </w:pPr>
          </w:p>
        </w:tc>
        <w:tc>
          <w:tcPr>
            <w:tcW w:w="1125" w:type="dxa"/>
            <w:tcBorders>
              <w:top w:val="nil"/>
              <w:left w:val="nil"/>
              <w:bottom w:val="nil"/>
              <w:right w:val="nil"/>
            </w:tcBorders>
            <w:noWrap/>
            <w:tcMar>
              <w:top w:w="15" w:type="dxa"/>
              <w:left w:w="15" w:type="dxa"/>
              <w:right w:w="15" w:type="dxa"/>
            </w:tcMar>
            <w:vAlign w:val="center"/>
          </w:tcPr>
          <w:p>
            <w:pPr>
              <w:jc w:val="center"/>
              <w:rPr>
                <w:rFonts w:ascii="宋体" w:hAnsi="宋体" w:eastAsia="宋体"/>
                <w:color w:val="000000"/>
                <w:sz w:val="22"/>
                <w:szCs w:val="22"/>
              </w:rPr>
            </w:pPr>
          </w:p>
        </w:tc>
        <w:tc>
          <w:tcPr>
            <w:tcW w:w="2070" w:type="dxa"/>
            <w:tcBorders>
              <w:top w:val="nil"/>
              <w:left w:val="nil"/>
              <w:bottom w:val="nil"/>
              <w:right w:val="nil"/>
            </w:tcBorders>
            <w:noWrap/>
            <w:tcMar>
              <w:top w:w="15" w:type="dxa"/>
              <w:left w:w="15" w:type="dxa"/>
              <w:right w:w="15" w:type="dxa"/>
            </w:tcMar>
            <w:vAlign w:val="center"/>
          </w:tcPr>
          <w:p>
            <w:pPr>
              <w:jc w:val="center"/>
              <w:rPr>
                <w:rFonts w:ascii="宋体" w:hAnsi="宋体" w:eastAsia="宋体"/>
                <w:color w:val="000000"/>
                <w:sz w:val="22"/>
                <w:szCs w:val="22"/>
              </w:rPr>
            </w:pPr>
          </w:p>
        </w:tc>
        <w:tc>
          <w:tcPr>
            <w:tcW w:w="3555" w:type="dxa"/>
            <w:tcBorders>
              <w:top w:val="nil"/>
              <w:left w:val="nil"/>
              <w:bottom w:val="nil"/>
              <w:right w:val="nil"/>
            </w:tcBorders>
            <w:noWrap/>
            <w:tcMar>
              <w:top w:w="15" w:type="dxa"/>
              <w:left w:w="15" w:type="dxa"/>
              <w:right w:w="15" w:type="dxa"/>
            </w:tcMar>
            <w:vAlign w:val="center"/>
          </w:tcPr>
          <w:p>
            <w:pPr>
              <w:jc w:val="center"/>
              <w:rPr>
                <w:rFonts w:ascii="宋体" w:hAnsi="宋体" w:eastAsia="宋体"/>
                <w:color w:val="000000"/>
                <w:sz w:val="22"/>
                <w:szCs w:val="22"/>
              </w:rPr>
            </w:pPr>
          </w:p>
        </w:tc>
      </w:tr>
      <w:tr>
        <w:tblPrEx>
          <w:tblCellMar>
            <w:top w:w="0" w:type="dxa"/>
            <w:left w:w="0" w:type="dxa"/>
            <w:bottom w:w="0" w:type="dxa"/>
            <w:right w:w="0" w:type="dxa"/>
          </w:tblCellMar>
        </w:tblPrEx>
        <w:trPr>
          <w:trHeight w:val="1320" w:hRule="atLeast"/>
        </w:trPr>
        <w:tc>
          <w:tcPr>
            <w:tcW w:w="14715" w:type="dxa"/>
            <w:gridSpan w:val="10"/>
            <w:tcBorders>
              <w:top w:val="nil"/>
              <w:left w:val="nil"/>
              <w:bottom w:val="nil"/>
              <w:right w:val="nil"/>
            </w:tcBorders>
            <w:tcMar>
              <w:top w:w="15" w:type="dxa"/>
              <w:left w:w="15" w:type="dxa"/>
              <w:right w:w="15" w:type="dxa"/>
            </w:tcMar>
            <w:vAlign w:val="center"/>
          </w:tcPr>
          <w:p>
            <w:pPr>
              <w:widowControl/>
              <w:spacing w:line="580" w:lineRule="exact"/>
              <w:jc w:val="center"/>
              <w:textAlignment w:val="center"/>
              <w:rPr>
                <w:rFonts w:ascii="方正小标宋简体" w:hAnsi="方正小标宋简体" w:eastAsia="方正小标宋简体"/>
                <w:color w:val="000000"/>
                <w:sz w:val="48"/>
                <w:szCs w:val="48"/>
              </w:rPr>
            </w:pPr>
            <w:r>
              <w:rPr>
                <w:rFonts w:hint="eastAsia" w:ascii="方正小标宋简体" w:hAnsi="方正小标宋简体" w:eastAsia="方正小标宋简体" w:cs="方正小标宋简体"/>
                <w:color w:val="000000"/>
                <w:kern w:val="0"/>
                <w:sz w:val="48"/>
                <w:szCs w:val="48"/>
              </w:rPr>
              <w:t>湘潭城市综合运营有限公司</w:t>
            </w:r>
            <w:r>
              <w:rPr>
                <w:rFonts w:ascii="方正小标宋简体" w:hAnsi="方正小标宋简体" w:eastAsia="方正小标宋简体"/>
                <w:color w:val="000000"/>
                <w:kern w:val="0"/>
                <w:sz w:val="48"/>
                <w:szCs w:val="48"/>
              </w:rPr>
              <w:br w:type="textWrapping"/>
            </w:r>
            <w:r>
              <w:rPr>
                <w:rFonts w:ascii="方正小标宋简体" w:hAnsi="方正小标宋简体" w:eastAsia="方正小标宋简体" w:cs="方正小标宋简体"/>
                <w:color w:val="000000"/>
                <w:kern w:val="0"/>
                <w:sz w:val="48"/>
                <w:szCs w:val="48"/>
              </w:rPr>
              <w:t>2020</w:t>
            </w:r>
            <w:r>
              <w:rPr>
                <w:rFonts w:hint="eastAsia" w:ascii="方正小标宋简体" w:hAnsi="方正小标宋简体" w:eastAsia="方正小标宋简体" w:cs="方正小标宋简体"/>
                <w:color w:val="000000"/>
                <w:kern w:val="0"/>
                <w:sz w:val="48"/>
                <w:szCs w:val="48"/>
              </w:rPr>
              <w:t>年度公开招聘岗位表</w:t>
            </w:r>
          </w:p>
        </w:tc>
      </w:tr>
      <w:tr>
        <w:tblPrEx>
          <w:tblCellMar>
            <w:top w:w="0" w:type="dxa"/>
            <w:left w:w="0" w:type="dxa"/>
            <w:bottom w:w="0" w:type="dxa"/>
            <w:right w:w="0" w:type="dxa"/>
          </w:tblCellMar>
        </w:tblPrEx>
        <w:trPr>
          <w:trHeight w:val="619" w:hRule="atLeast"/>
        </w:trPr>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b/>
                <w:bCs/>
                <w:color w:val="000000"/>
                <w:sz w:val="22"/>
                <w:szCs w:val="22"/>
              </w:rPr>
            </w:pPr>
            <w:r>
              <w:rPr>
                <w:rFonts w:hint="eastAsia" w:ascii="宋体" w:hAnsi="宋体" w:eastAsia="宋体" w:cs="宋体"/>
                <w:b/>
                <w:bCs/>
                <w:color w:val="000000"/>
                <w:kern w:val="0"/>
                <w:sz w:val="22"/>
                <w:szCs w:val="22"/>
              </w:rPr>
              <w:t>部门</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b/>
                <w:bCs/>
                <w:color w:val="000000"/>
                <w:sz w:val="22"/>
                <w:szCs w:val="22"/>
              </w:rPr>
            </w:pPr>
            <w:r>
              <w:rPr>
                <w:rFonts w:hint="eastAsia" w:ascii="宋体" w:hAnsi="宋体" w:eastAsia="宋体" w:cs="宋体"/>
                <w:b/>
                <w:bCs/>
                <w:color w:val="000000"/>
                <w:kern w:val="0"/>
                <w:sz w:val="22"/>
                <w:szCs w:val="22"/>
              </w:rPr>
              <w:t>类别</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岗位</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招聘人数</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年龄</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学历</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专业</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职称</w:t>
            </w:r>
            <w:r>
              <w:rPr>
                <w:rFonts w:ascii="仿宋" w:hAnsi="仿宋" w:eastAsia="仿宋" w:cs="仿宋"/>
                <w:b/>
                <w:bCs/>
                <w:color w:val="000000"/>
                <w:kern w:val="0"/>
                <w:sz w:val="22"/>
                <w:szCs w:val="22"/>
              </w:rPr>
              <w:t>/</w:t>
            </w:r>
            <w:r>
              <w:rPr>
                <w:rFonts w:hint="eastAsia" w:ascii="仿宋" w:hAnsi="仿宋" w:eastAsia="仿宋" w:cs="仿宋"/>
                <w:b/>
                <w:bCs/>
                <w:color w:val="000000"/>
                <w:kern w:val="0"/>
                <w:sz w:val="22"/>
                <w:szCs w:val="22"/>
              </w:rPr>
              <w:t>资格</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工作经验要求</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仿宋" w:hAnsi="仿宋" w:eastAsia="仿宋"/>
                <w:b/>
                <w:bCs/>
                <w:color w:val="000000"/>
                <w:sz w:val="22"/>
                <w:szCs w:val="22"/>
              </w:rPr>
            </w:pPr>
            <w:r>
              <w:rPr>
                <w:rFonts w:hint="eastAsia" w:ascii="仿宋" w:hAnsi="仿宋" w:eastAsia="仿宋" w:cs="仿宋"/>
                <w:b/>
                <w:bCs/>
                <w:color w:val="000000"/>
                <w:kern w:val="0"/>
                <w:sz w:val="22"/>
                <w:szCs w:val="22"/>
              </w:rPr>
              <w:t>其他要求</w:t>
            </w:r>
          </w:p>
        </w:tc>
      </w:tr>
      <w:tr>
        <w:tblPrEx>
          <w:tblCellMar>
            <w:top w:w="0" w:type="dxa"/>
            <w:left w:w="0" w:type="dxa"/>
            <w:bottom w:w="0" w:type="dxa"/>
            <w:right w:w="0" w:type="dxa"/>
          </w:tblCellMar>
        </w:tblPrEx>
        <w:trPr>
          <w:trHeight w:val="1860" w:hRule="atLeast"/>
        </w:trPr>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领导班子</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融资招商</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副总经理</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ascii="宋体" w:hAnsi="宋体" w:eastAsia="宋体" w:cs="宋体"/>
                <w:color w:val="000000"/>
                <w:kern w:val="0"/>
                <w:sz w:val="18"/>
                <w:szCs w:val="18"/>
              </w:rPr>
              <w:t>1</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ascii="宋体" w:hAnsi="宋体" w:eastAsia="宋体" w:cs="宋体"/>
                <w:color w:val="000000"/>
                <w:kern w:val="0"/>
                <w:sz w:val="18"/>
                <w:szCs w:val="18"/>
              </w:rPr>
              <w:t>45</w:t>
            </w:r>
            <w:r>
              <w:rPr>
                <w:rFonts w:hint="eastAsia" w:ascii="宋体" w:hAnsi="宋体" w:eastAsia="宋体" w:cs="宋体"/>
                <w:color w:val="000000"/>
                <w:kern w:val="0"/>
                <w:sz w:val="18"/>
                <w:szCs w:val="18"/>
              </w:rPr>
              <w:t>周岁以下</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全日制本科及以上学历</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经济学类</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olor w:val="000000"/>
                <w:sz w:val="18"/>
                <w:szCs w:val="18"/>
              </w:rPr>
            </w:pP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有</w:t>
            </w:r>
            <w:r>
              <w:rPr>
                <w:rFonts w:ascii="宋体" w:hAnsi="宋体" w:eastAsia="宋体" w:cs="宋体"/>
                <w:color w:val="000000"/>
                <w:kern w:val="0"/>
                <w:sz w:val="18"/>
                <w:szCs w:val="18"/>
              </w:rPr>
              <w:t>10</w:t>
            </w:r>
            <w:r>
              <w:rPr>
                <w:rFonts w:hint="eastAsia" w:ascii="宋体" w:hAnsi="宋体" w:eastAsia="宋体" w:cs="宋体"/>
                <w:color w:val="000000"/>
                <w:kern w:val="0"/>
                <w:sz w:val="18"/>
                <w:szCs w:val="18"/>
              </w:rPr>
              <w:t>年以上大中型企业融资部门工作经历，其中担任部门负责人工作经历不少于</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年，担任负责人期间融资项目不少于</w:t>
            </w:r>
            <w:r>
              <w:rPr>
                <w:rFonts w:ascii="宋体" w:hAnsi="宋体" w:eastAsia="宋体" w:cs="宋体"/>
                <w:color w:val="000000"/>
                <w:kern w:val="0"/>
                <w:sz w:val="18"/>
                <w:szCs w:val="18"/>
              </w:rPr>
              <w:t>100</w:t>
            </w:r>
            <w:r>
              <w:rPr>
                <w:rFonts w:hint="eastAsia" w:ascii="宋体" w:hAnsi="宋体" w:eastAsia="宋体" w:cs="宋体"/>
                <w:color w:val="000000"/>
                <w:kern w:val="0"/>
                <w:sz w:val="18"/>
                <w:szCs w:val="18"/>
              </w:rPr>
              <w:t>亿元</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eastAsia="宋体" w:cs="宋体"/>
                <w:color w:val="000000"/>
                <w:kern w:val="0"/>
                <w:sz w:val="18"/>
                <w:szCs w:val="18"/>
              </w:rPr>
              <w:t>具备以下条件优先：</w:t>
            </w:r>
            <w:r>
              <w:rPr>
                <w:rFonts w:ascii="宋体" w:hAnsi="宋体" w:eastAsia="宋体"/>
                <w:color w:val="000000"/>
                <w:kern w:val="0"/>
                <w:sz w:val="18"/>
                <w:szCs w:val="18"/>
              </w:rPr>
              <w:br w:type="textWrapping"/>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中共正式党员。</w:t>
            </w:r>
            <w:r>
              <w:rPr>
                <w:rFonts w:ascii="宋体" w:hAnsi="宋体" w:eastAsia="宋体"/>
                <w:color w:val="000000"/>
                <w:kern w:val="0"/>
                <w:sz w:val="18"/>
                <w:szCs w:val="18"/>
              </w:rPr>
              <w:br w:type="textWrapping"/>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具有国有大中型企业融资副总经理经历或银行机构支行副行长（副科级）工作经历，具有丰富的金融管理工作经验</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及类似职务</w:t>
            </w:r>
            <w:r>
              <w:rPr>
                <w:rFonts w:ascii="宋体" w:hAnsi="宋体" w:eastAsia="宋体"/>
                <w:color w:val="000000"/>
                <w:kern w:val="0"/>
                <w:sz w:val="18"/>
                <w:szCs w:val="18"/>
              </w:rPr>
              <w:br w:type="textWrapping"/>
            </w: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有较强的商务谈判及沟通协调能力，应变处置能力，具有熟练开展融资模式创新和金融产品开发工作经验。</w:t>
            </w:r>
          </w:p>
        </w:tc>
      </w:tr>
      <w:tr>
        <w:tblPrEx>
          <w:tblCellMar>
            <w:top w:w="0" w:type="dxa"/>
            <w:left w:w="0" w:type="dxa"/>
            <w:bottom w:w="0" w:type="dxa"/>
            <w:right w:w="0" w:type="dxa"/>
          </w:tblCellMar>
        </w:tblPrEx>
        <w:trPr>
          <w:trHeight w:val="1020" w:hRule="atLeast"/>
        </w:trPr>
        <w:tc>
          <w:tcPr>
            <w:tcW w:w="11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财务管理部（</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人）</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财务管理</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会计专员</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ascii="宋体" w:hAnsi="宋体" w:eastAsia="宋体" w:cs="宋体"/>
                <w:color w:val="000000"/>
                <w:kern w:val="0"/>
                <w:sz w:val="18"/>
                <w:szCs w:val="18"/>
              </w:rPr>
              <w:t>1</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ascii="宋体" w:hAnsi="宋体" w:eastAsia="宋体" w:cs="宋体"/>
                <w:color w:val="000000"/>
                <w:kern w:val="0"/>
                <w:sz w:val="18"/>
                <w:szCs w:val="18"/>
              </w:rPr>
              <w:t>40</w:t>
            </w:r>
            <w:r>
              <w:rPr>
                <w:rFonts w:hint="eastAsia" w:ascii="宋体" w:hAnsi="宋体" w:eastAsia="宋体" w:cs="宋体"/>
                <w:color w:val="000000"/>
                <w:kern w:val="0"/>
                <w:sz w:val="18"/>
                <w:szCs w:val="18"/>
              </w:rPr>
              <w:t>周岁以下</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全日制本科及以上学历</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经济学类</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b/>
                <w:bCs/>
                <w:color w:val="000000"/>
                <w:sz w:val="22"/>
                <w:szCs w:val="22"/>
              </w:rPr>
            </w:pP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本科学历，具有</w:t>
            </w: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年以上相关工作经历；研究生及以上学历</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年以上相关工作经历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有中级会计师职称者优先</w:t>
            </w:r>
          </w:p>
        </w:tc>
      </w:tr>
      <w:tr>
        <w:tblPrEx>
          <w:tblCellMar>
            <w:top w:w="0" w:type="dxa"/>
            <w:left w:w="0" w:type="dxa"/>
            <w:bottom w:w="0" w:type="dxa"/>
            <w:right w:w="0" w:type="dxa"/>
          </w:tblCellMar>
        </w:tblPrEx>
        <w:trPr>
          <w:trHeight w:val="979" w:hRule="atLeast"/>
        </w:trPr>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olor w:val="000000"/>
                <w:sz w:val="18"/>
                <w:szCs w:val="18"/>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财务管理</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出纳专员</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ascii="宋体" w:hAnsi="宋体" w:eastAsia="宋体" w:cs="宋体"/>
                <w:color w:val="000000"/>
                <w:kern w:val="0"/>
                <w:sz w:val="18"/>
                <w:szCs w:val="18"/>
              </w:rPr>
              <w:t>1</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ascii="宋体" w:hAnsi="宋体" w:eastAsia="宋体" w:cs="宋体"/>
                <w:color w:val="000000"/>
                <w:kern w:val="0"/>
                <w:sz w:val="18"/>
                <w:szCs w:val="18"/>
              </w:rPr>
              <w:t>40</w:t>
            </w:r>
            <w:r>
              <w:rPr>
                <w:rFonts w:hint="eastAsia" w:ascii="宋体" w:hAnsi="宋体" w:eastAsia="宋体" w:cs="宋体"/>
                <w:color w:val="000000"/>
                <w:kern w:val="0"/>
                <w:sz w:val="18"/>
                <w:szCs w:val="18"/>
              </w:rPr>
              <w:t>周岁以下</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本科及以上学历</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olor w:val="000000"/>
                <w:sz w:val="18"/>
                <w:szCs w:val="18"/>
              </w:rPr>
            </w:pP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本科学历，具有</w:t>
            </w: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年以上相关工作经历；研究生及以上学历</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年以上相关工作经历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有会计证（会计师职称）者优先</w:t>
            </w:r>
          </w:p>
        </w:tc>
      </w:tr>
      <w:tr>
        <w:tblPrEx>
          <w:tblCellMar>
            <w:top w:w="0" w:type="dxa"/>
            <w:left w:w="0" w:type="dxa"/>
            <w:bottom w:w="0" w:type="dxa"/>
            <w:right w:w="0" w:type="dxa"/>
          </w:tblCellMar>
        </w:tblPrEx>
        <w:trPr>
          <w:trHeight w:val="1575" w:hRule="atLeast"/>
        </w:trPr>
        <w:tc>
          <w:tcPr>
            <w:tcW w:w="11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招商融资部（</w:t>
            </w: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人）</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融资招商</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招商融资部长</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ascii="宋体" w:hAnsi="宋体" w:eastAsia="宋体" w:cs="宋体"/>
                <w:color w:val="000000"/>
                <w:kern w:val="0"/>
                <w:sz w:val="18"/>
                <w:szCs w:val="18"/>
              </w:rPr>
              <w:t>1</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ascii="宋体" w:hAnsi="宋体" w:eastAsia="宋体" w:cs="宋体"/>
                <w:color w:val="000000"/>
                <w:kern w:val="0"/>
                <w:sz w:val="18"/>
                <w:szCs w:val="18"/>
              </w:rPr>
              <w:t>40</w:t>
            </w:r>
            <w:r>
              <w:rPr>
                <w:rFonts w:hint="eastAsia" w:ascii="宋体" w:hAnsi="宋体" w:eastAsia="宋体" w:cs="宋体"/>
                <w:color w:val="000000"/>
                <w:kern w:val="0"/>
                <w:sz w:val="18"/>
                <w:szCs w:val="18"/>
              </w:rPr>
              <w:t>周岁以下</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全日制本科及以上学历</w:t>
            </w: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经济学类</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olor w:val="000000"/>
                <w:sz w:val="18"/>
                <w:szCs w:val="18"/>
              </w:rPr>
            </w:pP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本科学历，具有</w:t>
            </w:r>
            <w:r>
              <w:rPr>
                <w:rFonts w:ascii="宋体" w:hAnsi="宋体" w:eastAsia="宋体" w:cs="宋体"/>
                <w:color w:val="000000"/>
                <w:kern w:val="0"/>
                <w:sz w:val="18"/>
                <w:szCs w:val="18"/>
              </w:rPr>
              <w:t>5</w:t>
            </w:r>
            <w:r>
              <w:rPr>
                <w:rFonts w:hint="eastAsia" w:ascii="宋体" w:hAnsi="宋体" w:eastAsia="宋体" w:cs="宋体"/>
                <w:color w:val="000000"/>
                <w:kern w:val="0"/>
                <w:sz w:val="18"/>
                <w:szCs w:val="18"/>
              </w:rPr>
              <w:t>年以上相关工作经历；研究生及以上学历</w:t>
            </w: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年以上相关工作经历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eastAsia="宋体" w:cs="宋体"/>
                <w:color w:val="000000"/>
                <w:kern w:val="0"/>
                <w:sz w:val="18"/>
                <w:szCs w:val="18"/>
              </w:rPr>
              <w:t>具备以下条件优先：具有国有大中型企业融资部门负责人经历或银行机构地市支行项目经理工作经历，具有丰富的金融管理工作经验；或有较强的商务谈判及沟通协调能力，应变处置能力，具有熟练开展融资模式创新和金融产品开发工作经验；或具有丰富的融资资源。</w:t>
            </w:r>
          </w:p>
        </w:tc>
      </w:tr>
      <w:tr>
        <w:tblPrEx>
          <w:tblCellMar>
            <w:top w:w="0" w:type="dxa"/>
            <w:left w:w="0" w:type="dxa"/>
            <w:bottom w:w="0" w:type="dxa"/>
            <w:right w:w="0" w:type="dxa"/>
          </w:tblCellMar>
        </w:tblPrEx>
        <w:trPr>
          <w:trHeight w:val="900" w:hRule="atLeast"/>
        </w:trPr>
        <w:tc>
          <w:tcPr>
            <w:tcW w:w="11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olor w:val="000000"/>
                <w:sz w:val="18"/>
                <w:szCs w:val="18"/>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融资招商</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招商专员</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ascii="宋体" w:hAnsi="宋体" w:eastAsia="宋体" w:cs="宋体"/>
                <w:color w:val="000000"/>
                <w:kern w:val="0"/>
                <w:sz w:val="18"/>
                <w:szCs w:val="18"/>
              </w:rPr>
              <w:t>1</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ascii="宋体" w:hAnsi="宋体" w:eastAsia="宋体" w:cs="宋体"/>
                <w:color w:val="000000"/>
                <w:kern w:val="0"/>
                <w:sz w:val="18"/>
                <w:szCs w:val="18"/>
              </w:rPr>
              <w:t>40</w:t>
            </w:r>
            <w:r>
              <w:rPr>
                <w:rFonts w:hint="eastAsia" w:ascii="宋体" w:hAnsi="宋体" w:eastAsia="宋体" w:cs="宋体"/>
                <w:color w:val="000000"/>
                <w:kern w:val="0"/>
                <w:sz w:val="18"/>
                <w:szCs w:val="18"/>
              </w:rPr>
              <w:t>周岁以下</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全日制本科及以上学历</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经济学类、工商管理类</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olor w:val="000000"/>
                <w:sz w:val="18"/>
                <w:szCs w:val="18"/>
              </w:rPr>
            </w:pP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本科学历，具有</w:t>
            </w: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年以上相关工作经历；研究生及以上学历</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年以上相关工作经历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eastAsia="宋体"/>
                <w:color w:val="000000"/>
                <w:sz w:val="18"/>
                <w:szCs w:val="18"/>
              </w:rPr>
            </w:pPr>
            <w:r>
              <w:rPr>
                <w:rFonts w:hint="eastAsia" w:ascii="宋体" w:hAnsi="宋体" w:eastAsia="宋体" w:cs="宋体"/>
                <w:color w:val="000000"/>
                <w:kern w:val="0"/>
                <w:sz w:val="18"/>
                <w:szCs w:val="18"/>
              </w:rPr>
              <w:t>具备以下条件优先：具有主导、参与工业园区、产业片区招商管理工作经验；具有丰富的行业资源，较强的执行力、沟通协调、商务谈判能力。</w:t>
            </w:r>
          </w:p>
        </w:tc>
      </w:tr>
      <w:tr>
        <w:tblPrEx>
          <w:tblCellMar>
            <w:top w:w="0" w:type="dxa"/>
            <w:left w:w="0" w:type="dxa"/>
            <w:bottom w:w="0" w:type="dxa"/>
            <w:right w:w="0" w:type="dxa"/>
          </w:tblCellMar>
        </w:tblPrEx>
        <w:trPr>
          <w:trHeight w:val="1200" w:hRule="atLeast"/>
        </w:trPr>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土地利用部（</w:t>
            </w:r>
            <w:r>
              <w:rPr>
                <w:rFonts w:ascii="宋体" w:hAnsi="宋体" w:eastAsia="宋体" w:cs="宋体"/>
                <w:color w:val="000000"/>
                <w:kern w:val="0"/>
                <w:sz w:val="18"/>
                <w:szCs w:val="18"/>
              </w:rPr>
              <w:t>1</w:t>
            </w:r>
            <w:r>
              <w:rPr>
                <w:rFonts w:hint="eastAsia" w:ascii="宋体" w:hAnsi="宋体" w:eastAsia="宋体" w:cs="宋体"/>
                <w:color w:val="000000"/>
                <w:kern w:val="0"/>
                <w:sz w:val="18"/>
                <w:szCs w:val="18"/>
              </w:rPr>
              <w:t>人）</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土地管理</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土地管理专员</w:t>
            </w:r>
          </w:p>
        </w:tc>
        <w:tc>
          <w:tcPr>
            <w:tcW w:w="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ascii="宋体" w:hAnsi="宋体" w:eastAsia="宋体" w:cs="宋体"/>
                <w:color w:val="000000"/>
                <w:kern w:val="0"/>
                <w:sz w:val="18"/>
                <w:szCs w:val="18"/>
              </w:rPr>
              <w:t>1</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ascii="宋体" w:hAnsi="宋体" w:eastAsia="宋体" w:cs="宋体"/>
                <w:color w:val="000000"/>
                <w:kern w:val="0"/>
                <w:sz w:val="18"/>
                <w:szCs w:val="18"/>
              </w:rPr>
              <w:t>40</w:t>
            </w:r>
            <w:r>
              <w:rPr>
                <w:rFonts w:hint="eastAsia" w:ascii="宋体" w:hAnsi="宋体" w:eastAsia="宋体" w:cs="宋体"/>
                <w:color w:val="000000"/>
                <w:kern w:val="0"/>
                <w:sz w:val="18"/>
                <w:szCs w:val="18"/>
              </w:rPr>
              <w:t>周岁以下</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全日制本科及以上学历</w:t>
            </w:r>
          </w:p>
        </w:tc>
        <w:tc>
          <w:tcPr>
            <w:tcW w:w="22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土地管理类、城市规划类</w:t>
            </w:r>
          </w:p>
        </w:tc>
        <w:tc>
          <w:tcPr>
            <w:tcW w:w="11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olor w:val="000000"/>
                <w:sz w:val="18"/>
                <w:szCs w:val="18"/>
              </w:rPr>
            </w:pPr>
          </w:p>
        </w:tc>
        <w:tc>
          <w:tcPr>
            <w:tcW w:w="20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本科学历，具有</w:t>
            </w:r>
            <w:r>
              <w:rPr>
                <w:rFonts w:ascii="宋体" w:hAnsi="宋体" w:eastAsia="宋体" w:cs="宋体"/>
                <w:color w:val="000000"/>
                <w:kern w:val="0"/>
                <w:sz w:val="18"/>
                <w:szCs w:val="18"/>
              </w:rPr>
              <w:t>3</w:t>
            </w:r>
            <w:r>
              <w:rPr>
                <w:rFonts w:hint="eastAsia" w:ascii="宋体" w:hAnsi="宋体" w:eastAsia="宋体" w:cs="宋体"/>
                <w:color w:val="000000"/>
                <w:kern w:val="0"/>
                <w:sz w:val="18"/>
                <w:szCs w:val="18"/>
              </w:rPr>
              <w:t>年以上相关工作经历；研究生及以上学历</w:t>
            </w:r>
            <w:r>
              <w:rPr>
                <w:rFonts w:ascii="宋体" w:hAnsi="宋体" w:eastAsia="宋体" w:cs="宋体"/>
                <w:color w:val="000000"/>
                <w:kern w:val="0"/>
                <w:sz w:val="18"/>
                <w:szCs w:val="18"/>
              </w:rPr>
              <w:t>2</w:t>
            </w:r>
            <w:r>
              <w:rPr>
                <w:rFonts w:hint="eastAsia" w:ascii="宋体" w:hAnsi="宋体" w:eastAsia="宋体" w:cs="宋体"/>
                <w:color w:val="000000"/>
                <w:kern w:val="0"/>
                <w:sz w:val="18"/>
                <w:szCs w:val="18"/>
              </w:rPr>
              <w:t>年以上相关工作经历</w:t>
            </w:r>
          </w:p>
        </w:tc>
        <w:tc>
          <w:tcPr>
            <w:tcW w:w="3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olor w:val="000000"/>
                <w:sz w:val="18"/>
                <w:szCs w:val="18"/>
              </w:rPr>
            </w:pPr>
            <w:r>
              <w:rPr>
                <w:rFonts w:hint="eastAsia" w:ascii="宋体" w:hAnsi="宋体" w:eastAsia="宋体" w:cs="宋体"/>
                <w:color w:val="000000"/>
                <w:kern w:val="0"/>
                <w:sz w:val="18"/>
                <w:szCs w:val="18"/>
              </w:rPr>
              <w:t>有土地管理、城市规划、项目前期等相关工作经验者优先。</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B5EE7"/>
    <w:rsid w:val="565B5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spacing w:before="100" w:beforeAutospacing="1" w:after="0"/>
      <w:ind w:left="0" w:firstLine="420" w:firstLineChars="200"/>
    </w:pPr>
  </w:style>
  <w:style w:type="paragraph" w:styleId="3">
    <w:name w:val="Body Text Indent"/>
    <w:basedOn w:val="1"/>
    <w:qFormat/>
    <w:uiPriority w:val="99"/>
    <w:pPr>
      <w:spacing w:after="120"/>
      <w:ind w:left="420" w:leftChars="200"/>
    </w:pPr>
  </w:style>
  <w:style w:type="paragraph" w:styleId="4">
    <w:name w:val="header"/>
    <w:basedOn w:val="1"/>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2020-12-09T02:00:00Z</dcterms:created>
  <dc:creator>hp</dc:creator>
  <cp:lastModifiedBy>hp</cp:lastModifiedBy>
  <dcterms:modified xsi:type="dcterms:W3CDTF">2020-12-09T02:51:47Z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