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《春天公司拟招聘人才岗位计划》</w:t>
      </w:r>
    </w:p>
    <w:tbl>
      <w:tblPr>
        <w:tblStyle w:val="6"/>
        <w:tblpPr w:leftFromText="180" w:rightFromText="180" w:vertAnchor="text" w:horzAnchor="page" w:tblpX="1660" w:tblpY="620"/>
        <w:tblOverlap w:val="never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1214"/>
        <w:gridCol w:w="630"/>
        <w:gridCol w:w="5145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5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经营开发人员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（1）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及以上学历，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专业不限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，45岁以下；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（2）3年以上施工企业招投标工作经验，能独立负责项目的投标工作，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了解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工程造价；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（3）能适应加班状态；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（4）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持有工程类中级职称证或二级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造价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师证书及以上等级执业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资格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证书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优先。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yellow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5-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</w:trPr>
        <w:tc>
          <w:tcPr>
            <w:tcW w:w="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工程技术人员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（1）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及以上学历，土建类专业，45岁以下；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（2）3年以上工程项目管理经验，熟悉工程施工流程和施工管理要点，能独立解决工程施工中遇到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的质量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进度成本控制及安全文明管理等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问题；熟悉工程类办公软件；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（3）能适应工程施工的艰苦环境，适应加班状态；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（4）持有工程类安全证书、中级职称证或二级建造师证书及以上等级执业证书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优先。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yellow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安全员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（1）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及以上学历，土建类专业，45岁以下；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（2）3年以上工程现场安全管理经验，熟悉工程施工流程；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（3）能适应工程施工的艰苦环境，适应加班状态；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（4）持有工程类中级职称证或二级建造师证书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或安全员证书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及以上等级执业证书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优先。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5-8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万/年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8" w:hRule="atLeast"/>
        </w:trPr>
        <w:tc>
          <w:tcPr>
            <w:tcW w:w="4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业务专员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及以上学历，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类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专业，45岁以下；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3年以上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工程业务拓展、公司资质升级、项目承建、报建手续等相关经验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，熟悉工程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项目管理者优先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能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适应加班状态；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持有工程类安全证书、中级职称证或二级建造师证书及以上等级执业证书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优先。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5-8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  <w:t>万/年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br w:type="page"/>
      </w:r>
    </w:p>
    <w:tbl>
      <w:tblPr>
        <w:tblStyle w:val="5"/>
        <w:tblW w:w="9880" w:type="dxa"/>
        <w:tblInd w:w="-7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814"/>
        <w:gridCol w:w="1016"/>
        <w:gridCol w:w="840"/>
        <w:gridCol w:w="1200"/>
        <w:gridCol w:w="1170"/>
        <w:gridCol w:w="825"/>
        <w:gridCol w:w="795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附件2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春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天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公司拟招聘人才基本情况表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免冠彩色相片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 历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专   业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960" w:firstLineChars="400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户籍所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在地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0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家庭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8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(工作)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所在学校/单位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/岗位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0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自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我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简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介</w:t>
            </w:r>
          </w:p>
        </w:tc>
        <w:tc>
          <w:tcPr>
            <w:tcW w:w="8880" w:type="dxa"/>
            <w:gridSpan w:val="8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400" w:firstLineChars="200"/>
              <w:jc w:val="both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2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主要工作业绩或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应聘优势（特长）</w:t>
            </w:r>
          </w:p>
        </w:tc>
        <w:tc>
          <w:tcPr>
            <w:tcW w:w="70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83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应聘工作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left="0" w:leftChars="0" w:firstLine="240" w:firstLineChars="100"/>
              <w:jc w:val="both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79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eastAsia="zh-CN"/>
              </w:rPr>
              <w:t>执（职）业证书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80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8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声明：本人没有违法乱纪等不良行为；没有吸毒、赌博、酗酒、沉迷网络游戏等不良嗜好；没有故意隐瞒可能影响就业的疾病、病史。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88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以上所填写的各项内容保证是真实的，如有不实造成的一切后果由本人承担。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880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880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签名：             日期：</w:t>
            </w:r>
          </w:p>
        </w:tc>
      </w:tr>
    </w:tbl>
    <w:p>
      <w:pPr>
        <w:ind w:firstLine="560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11C7AE"/>
    <w:multiLevelType w:val="singleLevel"/>
    <w:tmpl w:val="6511C7AE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C14A9"/>
    <w:rsid w:val="06EC6AA6"/>
    <w:rsid w:val="0F7A0184"/>
    <w:rsid w:val="12674270"/>
    <w:rsid w:val="150F681E"/>
    <w:rsid w:val="159F2281"/>
    <w:rsid w:val="16EB5C29"/>
    <w:rsid w:val="2A374698"/>
    <w:rsid w:val="2A793D8E"/>
    <w:rsid w:val="2AD9629E"/>
    <w:rsid w:val="384E54EE"/>
    <w:rsid w:val="40A2704D"/>
    <w:rsid w:val="41140724"/>
    <w:rsid w:val="42491BA7"/>
    <w:rsid w:val="4DAC14A9"/>
    <w:rsid w:val="4DE73304"/>
    <w:rsid w:val="519E7728"/>
    <w:rsid w:val="5B3064D8"/>
    <w:rsid w:val="622D4DF0"/>
    <w:rsid w:val="63167E98"/>
    <w:rsid w:val="65EE3135"/>
    <w:rsid w:val="70F10BE4"/>
    <w:rsid w:val="7F15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2021-08-19T04:07:00Z</dcterms:created>
  <dc:creator>Lenovo</dc:creator>
  <cp:lastModifiedBy>彬彬有李</cp:lastModifiedBy>
  <dcterms:modified xsi:type="dcterms:W3CDTF">2021-09-18T06:49:21Z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44516DBCC6894A79B140F27AF4022A6B</vt:lpwstr>
  </property>
</Properties>
</file>